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1D69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5AA2F77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6BA9B41C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EBDED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D0CC8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440D0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B463D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660B1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C433B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701D75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CAE095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587F13AA" w14:textId="76949610" w:rsidR="00894DE4" w:rsidRDefault="00403AD5" w:rsidP="00C35CF2">
      <w:pPr>
        <w:rPr>
          <w:sz w:val="24"/>
          <w:szCs w:val="24"/>
          <w:lang w:val="en-US"/>
        </w:rPr>
      </w:pPr>
      <w:r w:rsidRPr="00582A8F">
        <w:rPr>
          <w:sz w:val="24"/>
          <w:szCs w:val="24"/>
        </w:rPr>
        <w:t>
          <w:tbl>
            <w:tblPr>
              <w:tblBorders>
                <w:top w:color="auto" w:space="0" w:sz="4" w:val="single"/>
                <w:left w:color="auto" w:space="0" w:sz="4" w:val="single"/>
                <w:bottom w:color="auto" w:space="0" w:sz="4" w:val="single"/>
                <w:right w:color="auto" w:space="0" w:sz="4" w:val="single"/>
                <w:insideH w:color="auto" w:space="0" w:sz="4" w:val="single"/>
                <w:insideV w:color="auto" w:space="0" w:sz="4" w:val="single"/>
              </w:tblBorders>
              <w:tblW w:type="pct" w:w="5000"/>
              <w:tblLayout w:type="fixed"/>
            </w:tblPr>
            <w:tr>
              <w:trPr>
                <w:tblHeader/>
              </w:trPr>
              <w:tc>
                <w:tcPr>
                  <w:vAlign w:val="center"/>
                  <w:tcW w:type="pct" w:w="290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vAlign w:val="center"/>
                  <w:tcW w:type="pct" w:w="680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2</w:t>
                  </w:r>
                </w:p>
              </w:tc>
              <w:tc>
                <w:tcPr>
                  <w:vAlign w:val="center"/>
                  <w:tcW w:type="pct" w:w="435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3</w:t>
                  </w:r>
                </w:p>
              </w:tc>
              <w:tc>
                <w:tcPr>
                  <w:vAlign w:val="center"/>
                  <w:tcW w:type="pct" w:w="970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vAlign w:val="center"/>
                  <w:tcW w:type="pct" w:w="875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vAlign w:val="center"/>
                  <w:tcW w:type="pct" w:w="900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vAlign w:val="center"/>
                  <w:tcW w:type="pct" w:w="835"/>
                  <w:vMerge w:val="restart"/>
                </w:tcPr>
                <w:p>
                  <w:pPr>
                    <w:jc w:val="center"/>
                    <w:spacing w:before="0" w:after="0"/>
                    <w:ind w:left="-45.333328" w:right="-45.333328"/>
                  </w:pPr>
                  <w:r>
                    <w:rPr>
                      <w:sz w:val="16"/>
                      <w:rFonts w:ascii="Times New Roman" w:hAnsi="Times New Roman"/>
                      <w:b/>
                    </w:rPr>
                    <w:t>7</w:t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1.1**** ТР</w:t>
                  </w:r>
                </w:p>
              </w:tc>
              <w:tc>
                <w:tcPr>
                  <w:tcW w:type="pct" w:w="68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Парфюмерно-косметическая продукция</w:t>
                  </w:r>
                </w:p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20.42/42.000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Отбор проб</w:t>
                  </w:r>
                </w:p>
              </w:tc>
              <w:tc>
                <w:tcPr>
                  <w:tcW w:type="pct" w:w="87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ТР ТС 009/2011  Статья 1, 4, 5 Приложение 6,7</w:t>
                  </w:r>
                </w:p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 ГОСТ 29188.0-2014 р. 3, 4</w:t>
                  </w:r>
                </w:p>
              </w:tc>
              <w:tc>
                <w:tcPr>
                  <w:tcW w:type="pct" w:w="835"/>
                  <w:vAlign w:val="top"/>
                </w:tcPr>
                <w:p>
                  <w:pPr>
                    <w:jc w:val="left"/>
                    <w:ind w:left="-84.99999" w:right="-84.99999"/>
                    <w:spacing w:after="0" w:before="0"/>
                  </w:pPr>
                  <w:r>
                    <w:rPr>
                      <w:sz w:val="22"/>
                      <w:rFonts w:ascii="Times New Roman" w:hAnsi="Times New Roman"/>
                    </w:rPr>
                    <w:t>
                      химико-биологическая лаборатория  Совместное предприятие "БЕЛИТА" Общество с ограниченной ответственностью  (ул. Декабристов, 29а, 220089, г. Минск, Минская область);
                      <w:br/>
                      склад готовой продукции Совместное предприятие "БЕЛИТА" Общество с ограниченной ответственностью (ул., 202670, д. Дещенский с/с, в районе д.Теплень, Узденский район, Минская область);
                      <w:br/>
                      Cклад готовой продукции Совместное предприятие "БЕЛИТА" Общество с ограниченной ответственностью (ул. Декабристов, 29а, 220089, г.  Минск)
                    </w:t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1.2٭*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20.42/08.169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Водородный показатель рН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29188.2-2014</w:t>
                  </w:r>
                </w:p>
              </w:tc>
              <w:tc>
                <w:tcPr>
                  <w:tcW w:type="pct" w:w="8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химико-биологическая лаборатория  Совместное предприятие "БЕЛИТА" Общество с ограниченной ответственностью  (ул. Декабристов, 29а, 220089, г. Минск, Минская область)</w:t>
                  </w:r>
                </w:p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1.3٭*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20.42/01.086</w:t>
                  </w:r>
                </w:p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Общее количество мезофильных аэробных микроорганизмов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ISO 21149-2020 п. 9.3.2.1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1.4٭*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Candida albicans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ISO 18416-2018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1.5٭*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Escherichia coli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ISO 21150-2018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1.6٭*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Staphylococcus aureus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ISO 22718-2018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  <w:tr>
              <w:tc>
                <w:tcPr>
                  <w:tcW w:type="pct" w:w="29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1.7٭* ТР</w:t>
                  </w:r>
                </w:p>
              </w:tc>
              <w:tc>
                <w:tcPr>
                  <w:tcW w:type="pct" w:w="680"/>
                  <w:vAlign w:val="top"/>
                  <w:vMerge/>
                </w:tcPr>
                <w:p/>
              </w:tc>
              <w:tc>
                <w:tcPr>
                  <w:tcW w:type="pct" w:w="435"/>
                  <w:vAlign w:val="top"/>
                  <w:vMerge/>
                </w:tcPr>
                <w:p/>
              </w:tc>
              <w:tc>
                <w:tcPr>
                  <w:tcW w:type="pct" w:w="97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Pseudomonas аeruginosa</w:t>
                  </w:r>
                </w:p>
              </w:tc>
              <w:tc>
                <w:tcPr>
                  <w:tcW w:type="pct" w:w="875"/>
                  <w:vAlign w:val="top"/>
                  <w:vMerge/>
                </w:tcPr>
                <w:p/>
              </w:tc>
              <w:tc>
                <w:tcPr>
                  <w:tcW w:type="pct" w:w="900"/>
                  <w:vAlign w:val="top"/>
                  <w:vMerge w:val="restart"/>
                </w:tcPr>
                <w:p>
                  <w:pPr>
                    <w:jc w:val="left"/>
                    <w:ind w:left="-84.99999" w:right="-84.99999"/>
                    <w:spacing w:before="0" w:after="0"/>
                  </w:pPr>
                  <w:r>
                    <w:rPr>
                      <w:sz w:val="22"/>
                      <w:rFonts w:ascii="Times New Roman" w:hAnsi="Times New Roman"/>
                    </w:rPr>
                    <w:t> ГОСТ ISO 22717-2018</w:t>
                  </w:r>
                </w:p>
              </w:tc>
              <w:tc>
                <w:tcPr>
                  <w:tcW w:type="pct" w:w="835"/>
                  <w:vAlign w:val="top"/>
                  <w:vMerge/>
                </w:tcPr>
                <w:p/>
              </w:tc>
            </w:tr>
          </w:tbl>
        </w:t>
      </w:r>
    </w:p>
    <w:p w14:paraId="44ECCFCE" w14:textId="77777777" w:rsidR="004108B8" w:rsidRDefault="004108B8" w:rsidP="00C35CF2">
      <w:pPr>
        <w:rPr>
          <w:sz w:val="24"/>
          <w:szCs w:val="24"/>
          <w:lang w:val="en-US"/>
        </w:rPr>
      </w:pPr>
    </w:p>
    <w:p w14:paraId="5C6A6E63" w14:textId="77777777" w:rsidR="004108B8" w:rsidRDefault="004108B8" w:rsidP="00C35CF2">
      <w:pPr>
        <w:rPr>
          <w:sz w:val="24"/>
          <w:szCs w:val="24"/>
          <w:lang w:val="en-US"/>
        </w:rPr>
      </w:pPr>
    </w:p>
    <w:p w14:paraId="4764A5B4" w14:textId="77777777" w:rsidR="004108B8" w:rsidRDefault="004108B8" w:rsidP="00C35CF2">
      <w:pPr>
        <w:rPr>
          <w:sz w:val="24"/>
          <w:szCs w:val="24"/>
          <w:lang w:val="en-US"/>
        </w:rPr>
      </w:pPr>
    </w:p>
    <w:p w14:paraId="581AA416" w14:textId="77777777" w:rsidR="004108B8" w:rsidRDefault="004108B8" w:rsidP="00C35CF2">
      <w:pPr>
        <w:rPr>
          <w:sz w:val="24"/>
          <w:szCs w:val="24"/>
          <w:lang w:val="en-US"/>
        </w:rPr>
      </w:pPr>
    </w:p>
    <w:p w14:paraId="0E103DCE" w14:textId="77777777" w:rsidR="004108B8" w:rsidRDefault="004108B8" w:rsidP="00C35CF2">
      <w:pPr>
        <w:rPr>
          <w:sz w:val="24"/>
          <w:szCs w:val="24"/>
          <w:lang w:val="en-US"/>
        </w:rPr>
      </w:pPr>
    </w:p>
    <w:p w14:paraId="7FC5D6AD" w14:textId="77777777" w:rsidR="004108B8" w:rsidRDefault="004108B8" w:rsidP="00C35CF2">
      <w:pPr>
        <w:rPr>
          <w:sz w:val="24"/>
          <w:szCs w:val="24"/>
          <w:lang w:val="en-US"/>
        </w:rPr>
      </w:pPr>
    </w:p>
    <w:p w14:paraId="48190179" w14:textId="77777777" w:rsidR="004108B8" w:rsidRDefault="004108B8" w:rsidP="00C35CF2">
      <w:pPr>
        <w:rPr>
          <w:sz w:val="24"/>
          <w:szCs w:val="24"/>
          <w:lang w:val="en-US"/>
        </w:rPr>
      </w:pPr>
    </w:p>
    <w:p w14:paraId="5F9475B4" w14:textId="77777777" w:rsidR="004108B8" w:rsidRDefault="004108B8" w:rsidP="00C35CF2">
      <w:pPr>
        <w:rPr>
          <w:sz w:val="24"/>
          <w:szCs w:val="24"/>
          <w:lang w:val="en-US"/>
        </w:rPr>
      </w:pPr>
    </w:p>
    <w:p w14:paraId="5277281E" w14:textId="77777777" w:rsidR="004108B8" w:rsidRDefault="004108B8" w:rsidP="00C35CF2">
      <w:pPr>
        <w:rPr>
          <w:sz w:val="24"/>
          <w:szCs w:val="24"/>
          <w:lang w:val="en-US"/>
        </w:rPr>
      </w:pPr>
    </w:p>
    <w:p w14:paraId="14153EE7" w14:textId="77777777" w:rsidR="004108B8" w:rsidRDefault="004108B8" w:rsidP="00C35CF2">
      <w:pPr>
        <w:rPr>
          <w:sz w:val="24"/>
          <w:szCs w:val="24"/>
          <w:lang w:val="en-US"/>
        </w:rPr>
      </w:pPr>
    </w:p>
    <w:p w14:paraId="39836FCF" w14:textId="77777777" w:rsidR="004108B8" w:rsidRDefault="004108B8" w:rsidP="00C35CF2">
      <w:pPr>
        <w:rPr>
          <w:sz w:val="24"/>
          <w:szCs w:val="24"/>
          <w:lang w:val="en-US"/>
        </w:rPr>
      </w:pPr>
    </w:p>
    <w:p w14:paraId="7DF5CA0B" w14:textId="77777777" w:rsidR="004108B8" w:rsidRDefault="004108B8" w:rsidP="00C35CF2">
      <w:pPr>
        <w:rPr>
          <w:sz w:val="24"/>
          <w:szCs w:val="24"/>
          <w:lang w:val="en-US"/>
        </w:rPr>
      </w:pPr>
    </w:p>
    <w:p w14:paraId="2F8165AF" w14:textId="77777777" w:rsidR="004108B8" w:rsidRDefault="004108B8" w:rsidP="00C35CF2">
      <w:pPr>
        <w:rPr>
          <w:sz w:val="24"/>
          <w:szCs w:val="24"/>
          <w:lang w:val="en-US"/>
        </w:rPr>
      </w:pPr>
    </w:p>
    <w:p w14:paraId="737DD15C" w14:textId="77777777" w:rsidR="004108B8" w:rsidRDefault="004108B8" w:rsidP="00C35CF2">
      <w:pPr>
        <w:rPr>
          <w:sz w:val="24"/>
          <w:szCs w:val="24"/>
          <w:lang w:val="en-US"/>
        </w:rPr>
      </w:pPr>
    </w:p>
    <w:p w14:paraId="6B95A36C" w14:textId="77777777" w:rsidR="004108B8" w:rsidRDefault="004108B8" w:rsidP="00C35CF2">
      <w:pPr>
        <w:rPr>
          <w:sz w:val="24"/>
          <w:szCs w:val="24"/>
          <w:lang w:val="en-US"/>
        </w:rPr>
      </w:pPr>
    </w:p>
    <w:p w14:paraId="55B9E8B6" w14:textId="77777777" w:rsidR="004108B8" w:rsidRDefault="004108B8" w:rsidP="00C35CF2">
      <w:pPr>
        <w:rPr>
          <w:sz w:val="24"/>
          <w:szCs w:val="24"/>
          <w:lang w:val="en-US"/>
        </w:rPr>
      </w:pPr>
    </w:p>
    <w:p w14:paraId="15308D15" w14:textId="77777777" w:rsidR="004108B8" w:rsidRDefault="004108B8" w:rsidP="00C35CF2">
      <w:pPr>
        <w:rPr>
          <w:sz w:val="24"/>
          <w:szCs w:val="24"/>
          <w:lang w:val="en-US"/>
        </w:rPr>
      </w:pPr>
    </w:p>
    <w:p w14:paraId="7B2EA5B9" w14:textId="77777777" w:rsidR="004108B8" w:rsidRDefault="004108B8" w:rsidP="00C35CF2">
      <w:pPr>
        <w:rPr>
          <w:sz w:val="24"/>
          <w:szCs w:val="24"/>
          <w:lang w:val="en-US"/>
        </w:rPr>
      </w:pPr>
    </w:p>
    <w:p w14:paraId="46868A21" w14:textId="77777777" w:rsidR="004108B8" w:rsidRDefault="004108B8" w:rsidP="00C35CF2">
      <w:pPr>
        <w:rPr>
          <w:sz w:val="24"/>
          <w:szCs w:val="24"/>
          <w:lang w:val="en-US"/>
        </w:rPr>
      </w:pPr>
    </w:p>
    <w:p w14:paraId="3C1928E8" w14:textId="77777777" w:rsidR="004108B8" w:rsidRDefault="004108B8" w:rsidP="00C35CF2">
      <w:pPr>
        <w:rPr>
          <w:sz w:val="24"/>
          <w:szCs w:val="24"/>
          <w:lang w:val="en-US"/>
        </w:rPr>
      </w:pPr>
    </w:p>
    <w:p w14:paraId="26BB6934" w14:textId="77777777" w:rsidR="004108B8" w:rsidRDefault="004108B8" w:rsidP="00C35CF2">
      <w:pPr>
        <w:rPr>
          <w:sz w:val="24"/>
          <w:szCs w:val="24"/>
          <w:lang w:val="en-US"/>
        </w:rPr>
      </w:pPr>
    </w:p>
    <w:p w14:paraId="1BFBDB84" w14:textId="77777777" w:rsidR="004108B8" w:rsidRDefault="004108B8" w:rsidP="00C35CF2">
      <w:pPr>
        <w:rPr>
          <w:sz w:val="24"/>
          <w:szCs w:val="24"/>
          <w:lang w:val="en-US"/>
        </w:rPr>
      </w:pPr>
    </w:p>
    <w:p w14:paraId="1A6B43AA" w14:textId="77777777" w:rsidR="004108B8" w:rsidRDefault="004108B8" w:rsidP="00C35CF2">
      <w:pPr>
        <w:rPr>
          <w:sz w:val="24"/>
          <w:szCs w:val="24"/>
          <w:lang w:val="en-US"/>
        </w:rPr>
      </w:pPr>
    </w:p>
    <w:p w14:paraId="10FCE4B1" w14:textId="77777777" w:rsidR="004108B8" w:rsidRDefault="004108B8" w:rsidP="00C35CF2">
      <w:pPr>
        <w:rPr>
          <w:sz w:val="24"/>
          <w:szCs w:val="24"/>
          <w:lang w:val="en-US"/>
        </w:rPr>
      </w:pPr>
    </w:p>
    <w:p w14:paraId="74304107" w14:textId="77777777" w:rsidR="004108B8" w:rsidRDefault="004108B8" w:rsidP="00C35CF2">
      <w:pPr>
        <w:rPr>
          <w:sz w:val="24"/>
          <w:szCs w:val="24"/>
          <w:lang w:val="en-US"/>
        </w:rPr>
      </w:pPr>
    </w:p>
    <w:p w14:paraId="5CAFA45C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7AB3" w14:textId="77777777" w:rsidR="00B40C84" w:rsidRDefault="00B40C84" w:rsidP="0011070C">
      <w:r>
        <w:separator/>
      </w:r>
    </w:p>
  </w:endnote>
  <w:endnote w:type="continuationSeparator" w:id="0">
    <w:p w14:paraId="075D668F" w14:textId="77777777" w:rsidR="00B40C84" w:rsidRDefault="00B40C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8152362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186F19BF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34C3D16C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966D0" w14:textId="77777777" w:rsidR="00B40C84" w:rsidRDefault="00B40C84" w:rsidP="0011070C">
      <w:r>
        <w:separator/>
      </w:r>
    </w:p>
  </w:footnote>
  <w:footnote w:type="continuationSeparator" w:id="0">
    <w:p w14:paraId="5A5D6435" w14:textId="77777777" w:rsidR="00B40C84" w:rsidRDefault="00B40C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9359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88"/>
      <w:gridCol w:w="2465"/>
    </w:tblGrid>
    <w:tr w:rsidR="00A7672E" w:rsidRPr="00246BB6" w14:paraId="2AE652F4" w14:textId="77777777" w:rsidTr="004108B8">
      <w:trPr>
        <w:trHeight w:val="221"/>
      </w:trPr>
      <w:tc>
        <w:tcPr>
          <w:tcW w:w="12328" w:type="dxa"/>
          <w:vAlign w:val="center"/>
        </w:tcPr>
        <w:p w14:paraId="29A581FE" w14:textId="157E49E9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4D78B5E1" w14:textId="669F8A10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2.0324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696"/>
      <w:gridCol w:w="2843"/>
    </w:tblGrid>
    <w:tr w:rsidR="002317A4" w14:paraId="0687A6E8" w14:textId="77777777" w:rsidTr="004108B8">
      <w:trPr>
        <w:trHeight w:val="221"/>
      </w:trPr>
      <w:tc>
        <w:tcPr>
          <w:tcW w:w="11865" w:type="dxa"/>
          <w:vAlign w:val="center"/>
        </w:tcPr>
        <w:p w14:paraId="034A41F1" w14:textId="77777777" w:rsidR="007B3872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Совместное предприятие "БЕЛИТА" Общество с ограниченной ответственностью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,</w:t>
          </w:r>
        </w:p>
        <w:p w14:paraId="31A25A36" w14:textId="52D07D63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химико-биологическая лаборатория</w:t>
          </w:r>
        </w:p>
      </w:tc>
      <w:tc>
        <w:tcPr>
          <w:tcW w:w="2674" w:type="dxa"/>
          <w:vAlign w:val="center"/>
        </w:tcPr>
        <w:p w14:paraId="3C6B96DE" w14:textId="20E4DE98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2.0324</w:t>
          </w:r>
        </w:p>
      </w:tc>
    </w:tr>
  </w:tbl>
  <w:p w14:paraId="7B2A4618" w14:textId="4C3B0319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Романович Вероника Владимировна</cp:lastModifiedBy>
  <cp:revision>14</cp:revision>
  <cp:lastPrinted>2021-06-17T06:40:00Z</cp:lastPrinted>
  <dcterms:created xsi:type="dcterms:W3CDTF">2025-12-09T11:08:00Z</dcterms:created>
  <dcterms:modified xsi:type="dcterms:W3CDTF">2026-01-30T10:29:00Z</dcterms:modified>
</cp:coreProperties>
</file>