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CB0BCFF" w:rsidR="002244DB" w:rsidRPr="007E505E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E505E">
              <w:rPr>
                <w:rFonts w:cs="Times New Roman"/>
                <w:bCs/>
                <w:sz w:val="28"/>
                <w:szCs w:val="28"/>
              </w:rPr>
              <w:t xml:space="preserve"> 4.0038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372946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979CE">
              <w:rPr>
                <w:rFonts w:cs="Times New Roman"/>
                <w:bCs/>
                <w:sz w:val="28"/>
                <w:szCs w:val="28"/>
              </w:rPr>
              <w:t>05.08.2022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987031">
        <w:trPr>
          <w:trHeight w:val="68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15A166" w14:textId="77777777" w:rsidR="002244D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7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921B83A" w14:textId="2D6610CD" w:rsidR="00987031" w:rsidRPr="00C52114" w:rsidRDefault="00987031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9C7FA2C" w14:textId="37D54E04" w:rsidR="009230F2" w:rsidRPr="009230F2" w:rsidRDefault="006339D6" w:rsidP="009230F2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C2651F4" w:rsidR="006339D6" w:rsidRDefault="006339D6" w:rsidP="00987031">
      <w:pPr>
        <w:jc w:val="center"/>
        <w:rPr>
          <w:bCs/>
          <w:sz w:val="28"/>
          <w:szCs w:val="28"/>
        </w:rPr>
      </w:pPr>
      <w:r w:rsidRPr="00987031">
        <w:rPr>
          <w:bCs/>
          <w:sz w:val="28"/>
          <w:szCs w:val="28"/>
        </w:rPr>
        <w:t xml:space="preserve">от </w:t>
      </w:r>
      <w:r w:rsidR="008979CE" w:rsidRPr="00987031">
        <w:rPr>
          <w:bCs/>
          <w:sz w:val="28"/>
          <w:szCs w:val="28"/>
        </w:rPr>
        <w:t>0</w:t>
      </w:r>
      <w:r w:rsidR="00987031">
        <w:rPr>
          <w:bCs/>
          <w:sz w:val="28"/>
          <w:szCs w:val="28"/>
        </w:rPr>
        <w:t>8</w:t>
      </w:r>
      <w:r w:rsidR="009C51E7" w:rsidRPr="00987031">
        <w:rPr>
          <w:bCs/>
          <w:sz w:val="28"/>
          <w:szCs w:val="28"/>
        </w:rPr>
        <w:t xml:space="preserve"> </w:t>
      </w:r>
      <w:r w:rsidR="00987031">
        <w:rPr>
          <w:bCs/>
          <w:sz w:val="28"/>
          <w:szCs w:val="28"/>
        </w:rPr>
        <w:t>января</w:t>
      </w:r>
      <w:r w:rsidR="009C51E7" w:rsidRPr="00987031">
        <w:rPr>
          <w:bCs/>
          <w:sz w:val="28"/>
          <w:szCs w:val="28"/>
        </w:rPr>
        <w:t xml:space="preserve"> 202</w:t>
      </w:r>
      <w:r w:rsidR="00003B44">
        <w:rPr>
          <w:bCs/>
          <w:sz w:val="28"/>
          <w:szCs w:val="28"/>
        </w:rPr>
        <w:t>5</w:t>
      </w:r>
      <w:r w:rsidR="00AB0648" w:rsidRPr="00987031">
        <w:rPr>
          <w:bCs/>
          <w:sz w:val="28"/>
          <w:szCs w:val="28"/>
        </w:rPr>
        <w:t xml:space="preserve"> года</w:t>
      </w:r>
    </w:p>
    <w:p w14:paraId="3DB28653" w14:textId="77777777" w:rsidR="009230F2" w:rsidRPr="009230F2" w:rsidRDefault="009230F2" w:rsidP="00987031">
      <w:pPr>
        <w:jc w:val="center"/>
        <w:rPr>
          <w:bCs/>
          <w:sz w:val="12"/>
          <w:szCs w:val="12"/>
        </w:rPr>
      </w:pP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9230F2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77777777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№168</w:t>
            </w:r>
          </w:p>
          <w:p w14:paraId="51679C01" w14:textId="55F32618" w:rsidR="006339D6" w:rsidRPr="00CC094B" w:rsidRDefault="008979CE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Сервисного унитарного предприятия «БелАвтоТест-Запад»</w:t>
            </w:r>
          </w:p>
        </w:tc>
      </w:tr>
      <w:tr w:rsidR="006339D6" w:rsidRPr="00CC094B" w14:paraId="69DBB36D" w14:textId="77777777" w:rsidTr="009230F2">
        <w:trPr>
          <w:trHeight w:val="234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9230F2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44A36241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2D3FAE6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FEFBE9B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7478235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4BF3F58A" w14:textId="41CD1A56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3594632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987031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542686CD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</w:t>
            </w:r>
            <w:r w:rsidR="009230F2">
              <w:rPr>
                <w:sz w:val="22"/>
                <w:szCs w:val="24"/>
              </w:rPr>
              <w:t xml:space="preserve"> </w:t>
            </w:r>
            <w:r w:rsidRPr="005842C0">
              <w:rPr>
                <w:sz w:val="22"/>
                <w:szCs w:val="24"/>
              </w:rPr>
              <w:t>выбросов в отработавших газах; газообразные выбросы)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Выбросы дизельного двигателя (оборудование для </w:t>
            </w:r>
            <w:r w:rsidRPr="005842C0">
              <w:rPr>
                <w:sz w:val="22"/>
                <w:szCs w:val="24"/>
              </w:rPr>
              <w:lastRenderedPageBreak/>
              <w:t>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B5D9B0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 w:rsidR="00987031">
              <w:rPr>
                <w:sz w:val="22"/>
                <w:szCs w:val="22"/>
              </w:rPr>
              <w:t>1641-2019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A6643A9" w14:textId="6B70149A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11304931" w14:textId="77777777" w:rsidR="00987031" w:rsidRDefault="00987031" w:rsidP="0098703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1641-2019</w:t>
            </w:r>
          </w:p>
          <w:p w14:paraId="546140C0" w14:textId="2749D0D2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Положение о порядке получения сертификата</w:t>
            </w:r>
          </w:p>
          <w:p w14:paraId="4FEAE5F8" w14:textId="6DB41FE1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технического </w:t>
            </w:r>
          </w:p>
          <w:p w14:paraId="08421D38" w14:textId="7A752CB6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контроля,</w:t>
            </w:r>
          </w:p>
          <w:p w14:paraId="2E3357B9" w14:textId="65463242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утвержденное </w:t>
            </w:r>
          </w:p>
          <w:p w14:paraId="43965B92" w14:textId="015EF9C4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постановление</w:t>
            </w:r>
            <w:r w:rsidR="00C50D01">
              <w:rPr>
                <w:lang w:val="ru-RU"/>
              </w:rPr>
              <w:t>м</w:t>
            </w:r>
          </w:p>
          <w:p w14:paraId="6FFB9027" w14:textId="7F986A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Совета Министров</w:t>
            </w:r>
          </w:p>
          <w:p w14:paraId="1548CA60" w14:textId="7DE6942B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Республики Беларусь</w:t>
            </w:r>
          </w:p>
          <w:p w14:paraId="11CF3587" w14:textId="10753B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от 25.03.2022 №175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9230F2">
            <w:pPr>
              <w:pStyle w:val="af5"/>
              <w:ind w:left="139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p w14:paraId="7D2C034E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1C87C212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2CF466" w14:textId="3EDE58D2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1AA8A7F3" w14:textId="703F9F8C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О.В.Шабанова</w:t>
      </w:r>
    </w:p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90F" w14:textId="77777777" w:rsidR="005827E7" w:rsidRDefault="005827E7" w:rsidP="0011070C">
      <w:r>
        <w:separator/>
      </w:r>
    </w:p>
  </w:endnote>
  <w:endnote w:type="continuationSeparator" w:id="0">
    <w:p w14:paraId="7C3AD330" w14:textId="77777777" w:rsidR="005827E7" w:rsidRDefault="005827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56" w:type="pct"/>
      <w:tblLook w:val="00A0" w:firstRow="1" w:lastRow="0" w:firstColumn="1" w:lastColumn="0" w:noHBand="0" w:noVBand="0"/>
    </w:tblPr>
    <w:tblGrid>
      <w:gridCol w:w="3336"/>
      <w:gridCol w:w="4011"/>
      <w:gridCol w:w="1733"/>
    </w:tblGrid>
    <w:tr w:rsidR="009230F2" w:rsidRPr="00460ECA" w14:paraId="5636386F" w14:textId="77777777" w:rsidTr="00AD1AFC">
      <w:tc>
        <w:tcPr>
          <w:tcW w:w="3261" w:type="dxa"/>
          <w:vAlign w:val="center"/>
          <w:hideMark/>
        </w:tcPr>
        <w:p w14:paraId="116934EC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67A2B" w14:textId="0C1FEC99" w:rsidR="009230F2" w:rsidRPr="00DF59A1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07556580"/>
            <w:placeholder>
              <w:docPart w:val="A2B8FA41CFF84C78AC6E971ED9E9084F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D60D8" w14:textId="079ED6CD" w:rsidR="009230F2" w:rsidRPr="007F4073" w:rsidRDefault="009230F2" w:rsidP="009230F2">
              <w:pPr>
                <w:pStyle w:val="61"/>
                <w:ind w:left="-1084" w:firstLine="1084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1981A377" w14:textId="32992E56" w:rsidR="009230F2" w:rsidRPr="00460ECA" w:rsidRDefault="009230F2" w:rsidP="009230F2">
          <w:pPr>
            <w:pStyle w:val="61"/>
            <w:ind w:left="-1084" w:firstLine="1084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2" w:type="dxa"/>
          <w:vAlign w:val="center"/>
          <w:hideMark/>
        </w:tcPr>
        <w:p w14:paraId="1D68BD63" w14:textId="6F48EEF2" w:rsidR="009230F2" w:rsidRPr="00460ECA" w:rsidRDefault="009230F2" w:rsidP="009230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650"/>
      <w:gridCol w:w="1765"/>
    </w:tblGrid>
    <w:tr w:rsidR="009230F2" w:rsidRPr="00987031" w14:paraId="026ADD8F" w14:textId="77777777" w:rsidTr="002D3554">
      <w:tc>
        <w:tcPr>
          <w:tcW w:w="3119" w:type="dxa"/>
          <w:vAlign w:val="center"/>
          <w:hideMark/>
        </w:tcPr>
        <w:p w14:paraId="00915ABA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3524199" w:rsidR="009230F2" w:rsidRPr="009F4876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6F9666CCF5043EC9ADD5EB6E1A83E3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B74FB" w14:textId="2E72ED5E" w:rsidR="009230F2" w:rsidRPr="007F4073" w:rsidRDefault="009230F2" w:rsidP="009230F2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4B347AC2" w14:textId="7DB3A3C9" w:rsidR="009230F2" w:rsidRPr="009F4876" w:rsidRDefault="009230F2" w:rsidP="009230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563CE5" w14:textId="7A18C67E" w:rsidR="009230F2" w:rsidRPr="00987031" w:rsidRDefault="009230F2" w:rsidP="009230F2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A589" w14:textId="77777777" w:rsidR="005827E7" w:rsidRDefault="005827E7" w:rsidP="0011070C">
      <w:r>
        <w:separator/>
      </w:r>
    </w:p>
  </w:footnote>
  <w:footnote w:type="continuationSeparator" w:id="0">
    <w:p w14:paraId="549775D3" w14:textId="77777777" w:rsidR="005827E7" w:rsidRDefault="005827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97C73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D6D53">
            <w:rPr>
              <w:bCs/>
              <w:sz w:val="28"/>
              <w:szCs w:val="28"/>
            </w:rPr>
            <w:t>4.0038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44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29D"/>
    <w:rsid w:val="000D49BB"/>
    <w:rsid w:val="000D4B51"/>
    <w:rsid w:val="000D7AE6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53529"/>
    <w:rsid w:val="002765EC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5305B"/>
    <w:rsid w:val="004847CA"/>
    <w:rsid w:val="00485CFC"/>
    <w:rsid w:val="004A5E4C"/>
    <w:rsid w:val="004B6389"/>
    <w:rsid w:val="004C53CA"/>
    <w:rsid w:val="004C7F1A"/>
    <w:rsid w:val="004D3C77"/>
    <w:rsid w:val="004D6EF7"/>
    <w:rsid w:val="004E5090"/>
    <w:rsid w:val="004E6BC8"/>
    <w:rsid w:val="004F5A1D"/>
    <w:rsid w:val="00507CCF"/>
    <w:rsid w:val="00512C20"/>
    <w:rsid w:val="00556C9B"/>
    <w:rsid w:val="00557590"/>
    <w:rsid w:val="0056070B"/>
    <w:rsid w:val="00575F96"/>
    <w:rsid w:val="005827E7"/>
    <w:rsid w:val="0059114B"/>
    <w:rsid w:val="00592241"/>
    <w:rsid w:val="0059780F"/>
    <w:rsid w:val="005A12E0"/>
    <w:rsid w:val="005A2CD4"/>
    <w:rsid w:val="005D5C7B"/>
    <w:rsid w:val="005E250C"/>
    <w:rsid w:val="005E2E41"/>
    <w:rsid w:val="005E33F5"/>
    <w:rsid w:val="005E611E"/>
    <w:rsid w:val="0060650C"/>
    <w:rsid w:val="00606D62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C77F2"/>
    <w:rsid w:val="006D5481"/>
    <w:rsid w:val="006D5DCE"/>
    <w:rsid w:val="00700B37"/>
    <w:rsid w:val="00715D05"/>
    <w:rsid w:val="00731452"/>
    <w:rsid w:val="00734508"/>
    <w:rsid w:val="00741FBB"/>
    <w:rsid w:val="00785B9D"/>
    <w:rsid w:val="007B3671"/>
    <w:rsid w:val="007D3BDA"/>
    <w:rsid w:val="007D3D8F"/>
    <w:rsid w:val="007E505E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230F2"/>
    <w:rsid w:val="009345D0"/>
    <w:rsid w:val="009503C7"/>
    <w:rsid w:val="0095347E"/>
    <w:rsid w:val="00987031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1AFC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0D01"/>
    <w:rsid w:val="00C52114"/>
    <w:rsid w:val="00C66E3C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C7E48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14AC"/>
    <w:rsid w:val="00F47F4D"/>
    <w:rsid w:val="00F50286"/>
    <w:rsid w:val="00F8255B"/>
    <w:rsid w:val="00F86DE9"/>
    <w:rsid w:val="00FC1A9B"/>
    <w:rsid w:val="00FC280E"/>
    <w:rsid w:val="00FD6D53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B8FA41CFF84C78AC6E971ED9E90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3B18E-D6F0-472C-9E8E-BAE4BBAE1DBD}"/>
      </w:docPartPr>
      <w:docPartBody>
        <w:p w:rsidR="004F5507" w:rsidRDefault="004F5507" w:rsidP="004F5507">
          <w:pPr>
            <w:pStyle w:val="A2B8FA41CFF84C78AC6E971ED9E9084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6F9666CCF5043EC9ADD5EB6E1A83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80B27-966C-4B23-BBC9-5F9BBDA2E7C9}"/>
      </w:docPartPr>
      <w:docPartBody>
        <w:p w:rsidR="004F5507" w:rsidRDefault="004F5507" w:rsidP="004F5507">
          <w:pPr>
            <w:pStyle w:val="F6F9666CCF5043EC9ADD5EB6E1A83E3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0D7AE6"/>
    <w:rsid w:val="001A7369"/>
    <w:rsid w:val="002751FF"/>
    <w:rsid w:val="002765EC"/>
    <w:rsid w:val="003427E5"/>
    <w:rsid w:val="00413055"/>
    <w:rsid w:val="00421206"/>
    <w:rsid w:val="0044158B"/>
    <w:rsid w:val="00495C3B"/>
    <w:rsid w:val="004A3A30"/>
    <w:rsid w:val="004C7F1A"/>
    <w:rsid w:val="004F5507"/>
    <w:rsid w:val="00505FBC"/>
    <w:rsid w:val="005A2CD4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66E3C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550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B8FA41CFF84C78AC6E971ED9E9084F">
    <w:name w:val="A2B8FA41CFF84C78AC6E971ED9E9084F"/>
    <w:rsid w:val="004F5507"/>
    <w:rPr>
      <w:kern w:val="2"/>
      <w:lang w:val="ru-BY" w:eastAsia="ru-BY"/>
      <w14:ligatures w14:val="standardContextual"/>
    </w:rPr>
  </w:style>
  <w:style w:type="paragraph" w:customStyle="1" w:styleId="F6F9666CCF5043EC9ADD5EB6E1A83E3A">
    <w:name w:val="F6F9666CCF5043EC9ADD5EB6E1A83E3A"/>
    <w:rsid w:val="004F550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76</cp:revision>
  <cp:lastPrinted>2025-01-09T05:50:00Z</cp:lastPrinted>
  <dcterms:created xsi:type="dcterms:W3CDTF">2021-08-10T13:26:00Z</dcterms:created>
  <dcterms:modified xsi:type="dcterms:W3CDTF">2025-01-10T06:44:00Z</dcterms:modified>
</cp:coreProperties>
</file>