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BA3D9D">
        <w:rPr>
          <w:sz w:val="30"/>
          <w:szCs w:val="30"/>
        </w:rPr>
        <w:t>48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BA3D9D" w:rsidRDefault="00BA3D9D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научно-исследовательская лаборатория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Учреждение образования "Витебский государственный ордена Дружбы народов медицинский университет"</w:t>
      </w:r>
    </w:p>
    <w:p w:rsidR="00BA3D9D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BA3D9D" w:rsidP="00D04613">
      <w:pPr>
        <w:tabs>
          <w:tab w:val="left" w:pos="6804"/>
        </w:tabs>
        <w:jc w:val="both"/>
        <w:rPr>
          <w:sz w:val="30"/>
          <w:szCs w:val="30"/>
        </w:rPr>
      </w:pPr>
      <w:r w:rsidRPr="00BA3D9D">
        <w:rPr>
          <w:sz w:val="30"/>
          <w:szCs w:val="30"/>
        </w:rPr>
        <w:t>BY/112 02.1.0.0878, 16.10.2006</w:t>
      </w:r>
    </w:p>
    <w:p w:rsidR="00BA3D9D" w:rsidRDefault="00BA3D9D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BA3D9D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48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Pr="00BA3D9D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A061C0">
        <w:rPr>
          <w:bCs/>
          <w:iCs/>
          <w:sz w:val="30"/>
          <w:szCs w:val="30"/>
        </w:rPr>
        <w:t>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3D9D"/>
    <w:rsid w:val="00BA5670"/>
    <w:rsid w:val="00BC093E"/>
    <w:rsid w:val="00BD6FFD"/>
    <w:rsid w:val="00BE290F"/>
    <w:rsid w:val="00BE6BD7"/>
    <w:rsid w:val="00BF3CAA"/>
    <w:rsid w:val="00BF3CB8"/>
    <w:rsid w:val="00C02EBE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B7129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26E7-5D90-4FBE-98F9-AAB5776F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2019-10-14T06:57:00Z</dcterms:created>
  <dcterms:modified xsi:type="dcterms:W3CDTF">2019-10-14T15:14:00Z</dcterms:modified>
</cp:coreProperties>
</file>