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4318DC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D6674">
              <w:rPr>
                <w:sz w:val="28"/>
                <w:szCs w:val="28"/>
                <w:lang w:val="ru-RU"/>
              </w:rPr>
              <w:t>BY</w:t>
            </w:r>
            <w:r w:rsidR="00162FAB" w:rsidRPr="00F23CFE">
              <w:rPr>
                <w:sz w:val="28"/>
                <w:szCs w:val="28"/>
                <w:lang w:val="ru-RU"/>
              </w:rPr>
              <w:t>/</w:t>
            </w:r>
            <w:r w:rsidR="00FD6674" w:rsidRPr="00FD6674">
              <w:rPr>
                <w:sz w:val="28"/>
                <w:szCs w:val="28"/>
                <w:lang w:val="ru-RU"/>
              </w:rPr>
              <w:t xml:space="preserve">112 </w:t>
            </w:r>
            <w:r w:rsidR="00AF20B3">
              <w:rPr>
                <w:sz w:val="28"/>
                <w:szCs w:val="28"/>
                <w:lang w:val="ru-RU"/>
              </w:rPr>
              <w:t>2.</w:t>
            </w:r>
            <w:r w:rsidR="0006459B">
              <w:rPr>
                <w:sz w:val="28"/>
                <w:szCs w:val="28"/>
                <w:lang w:val="ru-RU"/>
              </w:rPr>
              <w:t>391</w:t>
            </w:r>
            <w:r w:rsidR="00E01638">
              <w:rPr>
                <w:sz w:val="28"/>
                <w:szCs w:val="28"/>
                <w:lang w:val="ru-RU"/>
              </w:rPr>
              <w:t>3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FD6674">
              <w:rPr>
                <w:sz w:val="28"/>
                <w:szCs w:val="28"/>
                <w:lang w:val="ru-RU"/>
              </w:rPr>
              <w:t>1</w:t>
            </w:r>
            <w:r w:rsidR="0006459B">
              <w:rPr>
                <w:sz w:val="28"/>
                <w:szCs w:val="28"/>
                <w:lang w:val="ru-RU"/>
              </w:rPr>
              <w:t>5</w:t>
            </w:r>
            <w:r w:rsidR="00BB0023">
              <w:rPr>
                <w:sz w:val="28"/>
                <w:szCs w:val="28"/>
                <w:lang w:val="ru-RU"/>
              </w:rPr>
              <w:t xml:space="preserve"> </w:t>
            </w:r>
            <w:r w:rsidR="0006459B">
              <w:rPr>
                <w:sz w:val="28"/>
                <w:szCs w:val="28"/>
                <w:lang w:val="ru-RU"/>
              </w:rPr>
              <w:t>сентября</w:t>
            </w:r>
            <w:r w:rsidR="007C2397">
              <w:rPr>
                <w:sz w:val="28"/>
                <w:szCs w:val="28"/>
                <w:lang w:val="ru-RU"/>
              </w:rPr>
              <w:t xml:space="preserve"> 20</w:t>
            </w:r>
            <w:r w:rsidR="00FD6674">
              <w:rPr>
                <w:sz w:val="28"/>
                <w:szCs w:val="28"/>
                <w:lang w:val="ru-RU"/>
              </w:rPr>
              <w:t>09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06459B">
              <w:rPr>
                <w:sz w:val="28"/>
                <w:szCs w:val="28"/>
                <w:lang w:val="ru-RU"/>
              </w:rPr>
              <w:t>2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FD6674">
              <w:rPr>
                <w:sz w:val="28"/>
                <w:szCs w:val="28"/>
                <w:lang w:val="ru-RU"/>
              </w:rPr>
              <w:t>ах</w:t>
            </w:r>
          </w:p>
          <w:p w:rsidR="00FD6674" w:rsidRPr="00FD6674" w:rsidRDefault="00FF6E21" w:rsidP="00AF20B3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AF20B3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3C4C9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</w:t>
      </w:r>
      <w:r w:rsidR="00643D2E">
        <w:rPr>
          <w:rFonts w:ascii="Times New Roman" w:hAnsi="Times New Roman"/>
          <w:b/>
          <w:sz w:val="28"/>
          <w:szCs w:val="28"/>
        </w:rPr>
        <w:t>Ь</w:t>
      </w:r>
      <w:r w:rsidR="00FF6E21" w:rsidRPr="00F611F7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4318DC">
        <w:rPr>
          <w:rFonts w:ascii="Times New Roman" w:hAnsi="Times New Roman"/>
          <w:sz w:val="28"/>
          <w:szCs w:val="28"/>
        </w:rPr>
        <w:t xml:space="preserve">от </w:t>
      </w:r>
      <w:r w:rsidR="00643D2E">
        <w:rPr>
          <w:rFonts w:ascii="Times New Roman" w:hAnsi="Times New Roman"/>
          <w:sz w:val="28"/>
          <w:szCs w:val="28"/>
        </w:rPr>
        <w:t>1</w:t>
      </w:r>
      <w:r w:rsidR="0006459B">
        <w:rPr>
          <w:rFonts w:ascii="Times New Roman" w:hAnsi="Times New Roman"/>
          <w:sz w:val="28"/>
          <w:szCs w:val="28"/>
        </w:rPr>
        <w:t>5</w:t>
      </w:r>
      <w:r w:rsidR="00643D2E">
        <w:rPr>
          <w:rFonts w:ascii="Times New Roman" w:hAnsi="Times New Roman"/>
          <w:sz w:val="28"/>
          <w:szCs w:val="28"/>
        </w:rPr>
        <w:t xml:space="preserve"> </w:t>
      </w:r>
      <w:r w:rsidR="0006459B">
        <w:rPr>
          <w:rFonts w:ascii="Times New Roman" w:hAnsi="Times New Roman"/>
          <w:sz w:val="28"/>
          <w:szCs w:val="28"/>
        </w:rPr>
        <w:t>сентября</w:t>
      </w:r>
      <w:r w:rsidR="004318DC" w:rsidRPr="004318DC">
        <w:rPr>
          <w:rFonts w:ascii="Times New Roman" w:hAnsi="Times New Roman"/>
          <w:sz w:val="28"/>
          <w:szCs w:val="28"/>
        </w:rPr>
        <w:t xml:space="preserve"> </w:t>
      </w:r>
      <w:r w:rsidR="004318DC" w:rsidRPr="00B918FD">
        <w:rPr>
          <w:rFonts w:ascii="Times New Roman" w:hAnsi="Times New Roman"/>
          <w:sz w:val="28"/>
          <w:szCs w:val="28"/>
        </w:rPr>
        <w:t>201</w:t>
      </w:r>
      <w:r w:rsidR="00FD6674">
        <w:rPr>
          <w:rFonts w:ascii="Times New Roman" w:hAnsi="Times New Roman"/>
          <w:sz w:val="28"/>
          <w:szCs w:val="28"/>
        </w:rPr>
        <w:t>9</w:t>
      </w:r>
      <w:r w:rsidR="004318DC" w:rsidRPr="004318D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06459B" w:rsidRPr="0006459B" w:rsidRDefault="00D921FF" w:rsidP="00FD6674">
            <w:pPr>
              <w:ind w:left="0" w:right="46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06459B" w:rsidRPr="0006459B">
                <w:rPr>
                  <w:rFonts w:ascii="Times New Roman" w:hAnsi="Times New Roman"/>
                  <w:sz w:val="28"/>
                  <w:szCs w:val="28"/>
                </w:rPr>
                <w:t>лаборатори</w:t>
              </w:r>
              <w:r w:rsidR="00E01638">
                <w:rPr>
                  <w:rFonts w:ascii="Times New Roman" w:hAnsi="Times New Roman"/>
                  <w:sz w:val="28"/>
                  <w:szCs w:val="28"/>
                </w:rPr>
                <w:t>и</w:t>
              </w:r>
              <w:r w:rsidR="0006459B" w:rsidRPr="0006459B">
                <w:rPr>
                  <w:rFonts w:ascii="Times New Roman" w:hAnsi="Times New Roman"/>
                  <w:sz w:val="28"/>
                  <w:szCs w:val="28"/>
                </w:rPr>
                <w:t xml:space="preserve"> гидравлических испытаний</w:t>
              </w:r>
            </w:hyperlink>
          </w:p>
          <w:p w:rsidR="00FF6E21" w:rsidRDefault="0006459B" w:rsidP="0006459B">
            <w:pPr>
              <w:ind w:left="0" w:right="4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459B">
              <w:rPr>
                <w:rFonts w:ascii="Times New Roman" w:hAnsi="Times New Roman"/>
                <w:sz w:val="28"/>
                <w:szCs w:val="28"/>
              </w:rPr>
              <w:t>Закрыто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06459B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06459B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6459B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06459B">
              <w:rPr>
                <w:rFonts w:ascii="Times New Roman" w:hAnsi="Times New Roman"/>
                <w:sz w:val="28"/>
                <w:szCs w:val="28"/>
              </w:rPr>
              <w:t>Пожтехкомплект</w:t>
            </w:r>
            <w:proofErr w:type="spellEnd"/>
            <w:r w:rsidRPr="0006459B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E01638" w:rsidRPr="00FD6674" w:rsidRDefault="00E01638" w:rsidP="0006459B">
            <w:pPr>
              <w:ind w:left="0" w:right="4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708"/>
        <w:gridCol w:w="2552"/>
        <w:gridCol w:w="2410"/>
        <w:gridCol w:w="2126"/>
      </w:tblGrid>
      <w:tr w:rsidR="00FF6E21" w:rsidRPr="000D524E" w:rsidTr="0006459B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 xml:space="preserve">№ </w:t>
            </w:r>
            <w:proofErr w:type="spellStart"/>
            <w:r w:rsidRPr="00E57716">
              <w:t>пунк-тов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E57716">
              <w:t>Наименование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объекта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Характеристика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E01638" w:rsidRDefault="00FF6E21" w:rsidP="0085397D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Обозначение НПА, в том числе ТНПА</w:t>
            </w:r>
            <w:r w:rsidR="00E01638">
              <w:rPr>
                <w:lang w:val="ru-RU"/>
              </w:rPr>
              <w:t>,</w:t>
            </w:r>
          </w:p>
          <w:p w:rsidR="00FF6E21" w:rsidRPr="00E57716" w:rsidRDefault="00FF6E21" w:rsidP="0085397D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06459B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объектам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2126" w:type="dxa"/>
            <w:vAlign w:val="center"/>
          </w:tcPr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методам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</w:tr>
      <w:tr w:rsidR="00FF6E21" w:rsidRPr="000D524E" w:rsidTr="0006459B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98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708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2552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2410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126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Корпуса переносных огнетушителей низкого давления 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Прочность корпуса: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при пробном давлении;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на разрыв</w:t>
            </w: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11.13.04-2009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>. 5.24, 5.25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2539-2018 п. 7.8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11.13.04-2009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 xml:space="preserve">. 8.17, 8.18, 8.19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Корпуса передвижных огнетушителей низкого давления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Прочность корпуса: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при испытательном давлении;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на разрыв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11.13.10- 2009 пп.5.20, 5.21, 5.28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2539-2018 п. 7.8</w:t>
            </w: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СТБ 11.13.10- 2009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пп.8.18, 8.19, 8.20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3.1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Баллоны, предназначенные для сжатых, сжиженных и растворенных под давлением газов вместимостью до100 литров включительно  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испытания: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- пробным давлением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Правила по обеспечению промышленной безопасности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оборудования, работающего под избыточным давлением, утв. пост. МЧС РБ </w:t>
            </w:r>
            <w:proofErr w:type="gramStart"/>
            <w:r w:rsidRPr="0006459B">
              <w:rPr>
                <w:lang w:val="ru-RU"/>
              </w:rPr>
              <w:t>28.01.2016  №</w:t>
            </w:r>
            <w:proofErr w:type="gramEnd"/>
            <w:r w:rsidRPr="0006459B">
              <w:rPr>
                <w:lang w:val="ru-RU"/>
              </w:rPr>
              <w:t xml:space="preserve"> 7 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ГОСТ 949-73 п.4.1,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Правила по обеспечению промышленной безопасности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оборудования, работающего под избыточным давлением, утв. пост. МЧС РБ </w:t>
            </w:r>
            <w:proofErr w:type="gramStart"/>
            <w:r w:rsidRPr="0006459B">
              <w:rPr>
                <w:lang w:val="ru-RU"/>
              </w:rPr>
              <w:t>28.01.2016  №</w:t>
            </w:r>
            <w:proofErr w:type="gramEnd"/>
            <w:r w:rsidRPr="0006459B">
              <w:rPr>
                <w:lang w:val="ru-RU"/>
              </w:rPr>
              <w:t xml:space="preserve"> 7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 xml:space="preserve">. 176-180,183,188 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МВИ.МГ 709-2012 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B9272E" w:rsidRDefault="0006459B" w:rsidP="0006459B">
            <w:pPr>
              <w:pStyle w:val="a6"/>
              <w:jc w:val="center"/>
              <w:rPr>
                <w:lang w:val="ru-RU"/>
              </w:rPr>
            </w:pPr>
            <w:r w:rsidRPr="00B9272E">
              <w:rPr>
                <w:lang w:val="ru-RU"/>
              </w:rPr>
              <w:t>4.1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Запорно-пусковые устройства огнетушителей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герметичность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2539-2018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6459B">
              <w:rPr>
                <w:lang w:val="ru-RU"/>
              </w:rPr>
              <w:t>пп</w:t>
            </w:r>
            <w:proofErr w:type="spellEnd"/>
            <w:r w:rsidRPr="0006459B">
              <w:rPr>
                <w:lang w:val="ru-RU"/>
              </w:rPr>
              <w:t xml:space="preserve">. 6.5, 7.4  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ТНПА и другая документация на объект испытаний                </w:t>
            </w: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МВИ.МГ 709-2012   </w:t>
            </w:r>
          </w:p>
          <w:p w:rsidR="00E01638" w:rsidRDefault="0006459B" w:rsidP="0006459B">
            <w:pPr>
              <w:pStyle w:val="a6"/>
              <w:ind w:right="-108"/>
              <w:rPr>
                <w:lang w:val="ru-RU"/>
              </w:rPr>
            </w:pPr>
            <w:proofErr w:type="gramStart"/>
            <w:r w:rsidRPr="0006459B">
              <w:rPr>
                <w:lang w:val="ru-RU"/>
              </w:rPr>
              <w:t>ГОСТ  24054</w:t>
            </w:r>
            <w:proofErr w:type="gramEnd"/>
            <w:r w:rsidRPr="0006459B">
              <w:rPr>
                <w:lang w:val="ru-RU"/>
              </w:rPr>
              <w:t xml:space="preserve">-80 Приложение 2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(гидростатический метод)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5.1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Устройство внутриквартирного пожаротушения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герметичность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6.1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Рукава пожарные напорные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герметичность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11.13.17-2010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п. 4.3</w:t>
            </w: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11.13.17-2010 </w:t>
            </w:r>
          </w:p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п.6.6</w:t>
            </w:r>
          </w:p>
          <w:p w:rsid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МВИ.МГ 709-2012</w:t>
            </w:r>
          </w:p>
          <w:p w:rsidR="00E01638" w:rsidRDefault="00E01638" w:rsidP="0006459B">
            <w:pPr>
              <w:pStyle w:val="a6"/>
              <w:rPr>
                <w:lang w:val="ru-RU"/>
              </w:rPr>
            </w:pPr>
          </w:p>
          <w:p w:rsidR="00E01638" w:rsidRPr="0006459B" w:rsidRDefault="00E01638" w:rsidP="0006459B">
            <w:pPr>
              <w:pStyle w:val="a6"/>
              <w:rPr>
                <w:lang w:val="ru-RU"/>
              </w:rPr>
            </w:pP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lastRenderedPageBreak/>
              <w:t>7.1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Модули газового пожаротушения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прочность</w:t>
            </w:r>
          </w:p>
        </w:tc>
        <w:tc>
          <w:tcPr>
            <w:tcW w:w="2410" w:type="dxa"/>
          </w:tcPr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11.13.20- 2010 </w:t>
            </w:r>
          </w:p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п.8.3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СТБ 11.13.20-2010</w:t>
            </w:r>
          </w:p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п.10.2.17</w:t>
            </w:r>
          </w:p>
        </w:tc>
      </w:tr>
      <w:tr w:rsidR="0006459B" w:rsidRPr="000D524E" w:rsidTr="0006459B">
        <w:trPr>
          <w:trHeight w:val="48"/>
        </w:trPr>
        <w:tc>
          <w:tcPr>
            <w:tcW w:w="534" w:type="dxa"/>
          </w:tcPr>
          <w:p w:rsidR="0006459B" w:rsidRPr="009D7C11" w:rsidRDefault="0006459B" w:rsidP="00D31E15">
            <w:pPr>
              <w:pStyle w:val="a6"/>
              <w:jc w:val="center"/>
              <w:rPr>
                <w:lang w:val="ru-RU"/>
              </w:rPr>
            </w:pPr>
            <w:r w:rsidRPr="009D7C11">
              <w:rPr>
                <w:lang w:val="ru-RU"/>
              </w:rPr>
              <w:t>8.1</w:t>
            </w:r>
          </w:p>
        </w:tc>
        <w:tc>
          <w:tcPr>
            <w:tcW w:w="1984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Элементы батареи газового пожаротушения</w:t>
            </w:r>
          </w:p>
        </w:tc>
        <w:tc>
          <w:tcPr>
            <w:tcW w:w="708" w:type="dxa"/>
          </w:tcPr>
          <w:p w:rsidR="0006459B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28.29/</w:t>
            </w:r>
          </w:p>
          <w:p w:rsidR="0006459B" w:rsidRPr="009D7C11" w:rsidRDefault="0006459B" w:rsidP="0006459B">
            <w:pPr>
              <w:pStyle w:val="a6"/>
              <w:ind w:left="-108" w:right="-109"/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  <w:r w:rsidRPr="00F2599D">
              <w:rPr>
                <w:lang w:val="ru-RU"/>
              </w:rPr>
              <w:t>141</w:t>
            </w:r>
          </w:p>
        </w:tc>
        <w:tc>
          <w:tcPr>
            <w:tcW w:w="2552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Гидравлические испытания на прочность</w:t>
            </w:r>
          </w:p>
        </w:tc>
        <w:tc>
          <w:tcPr>
            <w:tcW w:w="2410" w:type="dxa"/>
          </w:tcPr>
          <w:p w:rsidR="0006459B" w:rsidRP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 xml:space="preserve">СТБ 11.13.20- 2010 п.8.4 </w:t>
            </w:r>
          </w:p>
          <w:p w:rsidR="0006459B" w:rsidRDefault="0006459B" w:rsidP="0006459B">
            <w:pPr>
              <w:pStyle w:val="a6"/>
              <w:ind w:right="-108"/>
              <w:rPr>
                <w:lang w:val="ru-RU"/>
              </w:rPr>
            </w:pPr>
            <w:r w:rsidRPr="0006459B">
              <w:rPr>
                <w:lang w:val="ru-RU"/>
              </w:rPr>
              <w:t>ТНПА и другая документация на объект испытаний</w:t>
            </w:r>
          </w:p>
          <w:p w:rsidR="00E01638" w:rsidRPr="0006459B" w:rsidRDefault="00E01638" w:rsidP="0006459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СТБ 11.13.20-2010</w:t>
            </w:r>
          </w:p>
          <w:p w:rsidR="0006459B" w:rsidRPr="0006459B" w:rsidRDefault="0006459B" w:rsidP="0006459B">
            <w:pPr>
              <w:pStyle w:val="a6"/>
              <w:rPr>
                <w:lang w:val="ru-RU"/>
              </w:rPr>
            </w:pPr>
            <w:r w:rsidRPr="0006459B">
              <w:rPr>
                <w:lang w:val="ru-RU"/>
              </w:rPr>
              <w:t>п.10.2.18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ED74D9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ED74D9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ED74D9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ED74D9" w:rsidRPr="007228C2" w:rsidRDefault="00ED74D9" w:rsidP="00ED74D9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p w:rsidR="00FF6E21" w:rsidRPr="007228C2" w:rsidRDefault="00FF6E21" w:rsidP="00ED74D9">
      <w:pPr>
        <w:pStyle w:val="a6"/>
        <w:rPr>
          <w:sz w:val="28"/>
          <w:szCs w:val="28"/>
          <w:lang w:val="ru-RU"/>
        </w:rPr>
      </w:pPr>
      <w:bookmarkStart w:id="0" w:name="_GoBack"/>
      <w:bookmarkEnd w:id="0"/>
    </w:p>
    <w:sectPr w:rsidR="00FF6E21" w:rsidRPr="007228C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90D" w:rsidRDefault="00F9190D" w:rsidP="00E53450">
      <w:r>
        <w:separator/>
      </w:r>
    </w:p>
  </w:endnote>
  <w:endnote w:type="continuationSeparator" w:id="0">
    <w:p w:rsidR="00F9190D" w:rsidRDefault="00F9190D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C42D8" w:rsidRPr="000D524E" w:rsidTr="0041015C">
      <w:tc>
        <w:tcPr>
          <w:tcW w:w="3388" w:type="dxa"/>
        </w:tcPr>
        <w:p w:rsidR="00DC42D8" w:rsidRPr="00AE573F" w:rsidRDefault="00DC42D8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DC42D8" w:rsidRPr="00F97744" w:rsidRDefault="00DC42D8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DC42D8" w:rsidRPr="007C2397" w:rsidRDefault="00253762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12.07.2019</w:t>
          </w:r>
        </w:p>
        <w:p w:rsidR="00DC42D8" w:rsidRPr="00635874" w:rsidRDefault="00DC42D8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DC42D8" w:rsidRPr="0041015C" w:rsidRDefault="00DC42D8" w:rsidP="00A70933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5877B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5877B0" w:rsidRPr="00893955">
            <w:rPr>
              <w:sz w:val="24"/>
            </w:rPr>
            <w:fldChar w:fldCharType="separate"/>
          </w:r>
          <w:r w:rsidR="00A70933">
            <w:rPr>
              <w:noProof/>
              <w:sz w:val="24"/>
            </w:rPr>
            <w:t>2</w:t>
          </w:r>
          <w:r w:rsidR="005877B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70933">
            <w:rPr>
              <w:sz w:val="24"/>
              <w:szCs w:val="24"/>
              <w:lang w:val="ru-RU"/>
            </w:rPr>
            <w:t>2</w:t>
          </w:r>
        </w:p>
      </w:tc>
    </w:tr>
  </w:tbl>
  <w:p w:rsidR="00DC42D8" w:rsidRPr="00164D10" w:rsidRDefault="00DC42D8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C42D8" w:rsidRPr="000D524E" w:rsidTr="00893955">
      <w:tc>
        <w:tcPr>
          <w:tcW w:w="3388" w:type="dxa"/>
        </w:tcPr>
        <w:p w:rsidR="00DC42D8" w:rsidRPr="00AE573F" w:rsidRDefault="00DC42D8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DC42D8" w:rsidRPr="00F97744" w:rsidRDefault="00DC42D8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DC42D8" w:rsidRPr="007C2397" w:rsidRDefault="00253762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12.07.2019</w:t>
          </w:r>
        </w:p>
        <w:p w:rsidR="00DC42D8" w:rsidRPr="00635874" w:rsidRDefault="00DC42D8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DC42D8" w:rsidRPr="007015CE" w:rsidRDefault="00DC42D8" w:rsidP="00DD153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5877B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5877B0" w:rsidRPr="00893955">
            <w:rPr>
              <w:sz w:val="24"/>
            </w:rPr>
            <w:fldChar w:fldCharType="separate"/>
          </w:r>
          <w:r w:rsidR="00A70933">
            <w:rPr>
              <w:noProof/>
              <w:sz w:val="24"/>
            </w:rPr>
            <w:t>1</w:t>
          </w:r>
          <w:r w:rsidR="005877B0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D153F">
            <w:rPr>
              <w:sz w:val="24"/>
              <w:szCs w:val="24"/>
              <w:lang w:val="ru-RU"/>
            </w:rPr>
            <w:t>2</w:t>
          </w:r>
        </w:p>
      </w:tc>
    </w:tr>
  </w:tbl>
  <w:p w:rsidR="00DC42D8" w:rsidRPr="00164D10" w:rsidRDefault="00DC42D8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90D" w:rsidRDefault="00F9190D" w:rsidP="00E53450">
      <w:r>
        <w:separator/>
      </w:r>
    </w:p>
  </w:footnote>
  <w:footnote w:type="continuationSeparator" w:id="0">
    <w:p w:rsidR="00F9190D" w:rsidRDefault="00F9190D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DC42D8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DC42D8" w:rsidRPr="000D524E" w:rsidRDefault="00DC42D8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DC42D8" w:rsidRPr="00162FAB" w:rsidRDefault="00DC42D8" w:rsidP="00E01638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FD6674">
            <w:rPr>
              <w:sz w:val="28"/>
              <w:szCs w:val="28"/>
              <w:lang w:val="ru-RU"/>
            </w:rPr>
            <w:t>BY</w:t>
          </w:r>
          <w:r w:rsidRPr="00F23CFE">
            <w:rPr>
              <w:sz w:val="28"/>
              <w:szCs w:val="28"/>
              <w:lang w:val="ru-RU"/>
            </w:rPr>
            <w:t>/</w:t>
          </w:r>
          <w:r w:rsidRPr="00FD6674">
            <w:rPr>
              <w:sz w:val="28"/>
              <w:szCs w:val="28"/>
              <w:lang w:val="ru-RU"/>
            </w:rPr>
            <w:t>112 2.</w:t>
          </w:r>
          <w:r w:rsidR="00E01638">
            <w:rPr>
              <w:sz w:val="28"/>
              <w:szCs w:val="28"/>
              <w:lang w:val="ru-RU"/>
            </w:rPr>
            <w:t>3913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984"/>
      <w:gridCol w:w="709"/>
      <w:gridCol w:w="2551"/>
      <w:gridCol w:w="2410"/>
      <w:gridCol w:w="2126"/>
    </w:tblGrid>
    <w:tr w:rsidR="00DC42D8" w:rsidRPr="000D524E" w:rsidTr="00E01638">
      <w:trPr>
        <w:trHeight w:val="48"/>
      </w:trPr>
      <w:tc>
        <w:tcPr>
          <w:tcW w:w="534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1" w:type="dxa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410" w:type="dxa"/>
          <w:vAlign w:val="center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126" w:type="dxa"/>
          <w:vAlign w:val="center"/>
        </w:tcPr>
        <w:p w:rsidR="00DC42D8" w:rsidRPr="00E57716" w:rsidRDefault="00DC42D8" w:rsidP="001E2847">
          <w:pPr>
            <w:pStyle w:val="a6"/>
            <w:jc w:val="center"/>
          </w:pPr>
          <w:r w:rsidRPr="00E57716">
            <w:t>6</w:t>
          </w:r>
        </w:p>
      </w:tc>
    </w:tr>
  </w:tbl>
  <w:p w:rsidR="00DC42D8" w:rsidRDefault="00DC42D8" w:rsidP="00E72A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EF"/>
    <w:rsid w:val="000041E5"/>
    <w:rsid w:val="00005925"/>
    <w:rsid w:val="00012C12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459B"/>
    <w:rsid w:val="000653F2"/>
    <w:rsid w:val="00071A7C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0F11DF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92E10"/>
    <w:rsid w:val="00193A2F"/>
    <w:rsid w:val="001A28EF"/>
    <w:rsid w:val="001A786A"/>
    <w:rsid w:val="001B185D"/>
    <w:rsid w:val="001B1E93"/>
    <w:rsid w:val="001B2DF3"/>
    <w:rsid w:val="001B3613"/>
    <w:rsid w:val="001B42B7"/>
    <w:rsid w:val="001B520C"/>
    <w:rsid w:val="001B6D70"/>
    <w:rsid w:val="001B7983"/>
    <w:rsid w:val="001B7D2B"/>
    <w:rsid w:val="001C22A5"/>
    <w:rsid w:val="001C604C"/>
    <w:rsid w:val="001C707F"/>
    <w:rsid w:val="001D0DE2"/>
    <w:rsid w:val="001D0F86"/>
    <w:rsid w:val="001D295F"/>
    <w:rsid w:val="001D4304"/>
    <w:rsid w:val="001D7BDD"/>
    <w:rsid w:val="001E2847"/>
    <w:rsid w:val="001E3040"/>
    <w:rsid w:val="001F3E0B"/>
    <w:rsid w:val="002029C1"/>
    <w:rsid w:val="00205F68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53762"/>
    <w:rsid w:val="00260D96"/>
    <w:rsid w:val="00260E8F"/>
    <w:rsid w:val="00261A06"/>
    <w:rsid w:val="00263BE2"/>
    <w:rsid w:val="0027128F"/>
    <w:rsid w:val="00271F32"/>
    <w:rsid w:val="002744A2"/>
    <w:rsid w:val="0027635F"/>
    <w:rsid w:val="002872AC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290"/>
    <w:rsid w:val="00347365"/>
    <w:rsid w:val="00355A31"/>
    <w:rsid w:val="00356A3A"/>
    <w:rsid w:val="00366396"/>
    <w:rsid w:val="0036689A"/>
    <w:rsid w:val="00370781"/>
    <w:rsid w:val="00386281"/>
    <w:rsid w:val="0039065A"/>
    <w:rsid w:val="003938BE"/>
    <w:rsid w:val="00394C8D"/>
    <w:rsid w:val="003A0797"/>
    <w:rsid w:val="003A0C45"/>
    <w:rsid w:val="003A3035"/>
    <w:rsid w:val="003B4987"/>
    <w:rsid w:val="003C1A6A"/>
    <w:rsid w:val="003C1E77"/>
    <w:rsid w:val="003C1FE9"/>
    <w:rsid w:val="003C4C9C"/>
    <w:rsid w:val="003C69ED"/>
    <w:rsid w:val="003D0CB7"/>
    <w:rsid w:val="003D4656"/>
    <w:rsid w:val="003D47C5"/>
    <w:rsid w:val="003D5519"/>
    <w:rsid w:val="003E1146"/>
    <w:rsid w:val="003E6BBB"/>
    <w:rsid w:val="003E730E"/>
    <w:rsid w:val="003F4AEB"/>
    <w:rsid w:val="003F5751"/>
    <w:rsid w:val="00401E52"/>
    <w:rsid w:val="0040562A"/>
    <w:rsid w:val="0041015C"/>
    <w:rsid w:val="00411435"/>
    <w:rsid w:val="00416735"/>
    <w:rsid w:val="0042186A"/>
    <w:rsid w:val="004318DC"/>
    <w:rsid w:val="004379CA"/>
    <w:rsid w:val="00440221"/>
    <w:rsid w:val="0044658D"/>
    <w:rsid w:val="0045519D"/>
    <w:rsid w:val="00455495"/>
    <w:rsid w:val="00457CC7"/>
    <w:rsid w:val="0046402C"/>
    <w:rsid w:val="00465DFB"/>
    <w:rsid w:val="0047122D"/>
    <w:rsid w:val="00477F3C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38D3"/>
    <w:rsid w:val="005167D9"/>
    <w:rsid w:val="00516E0E"/>
    <w:rsid w:val="005234BF"/>
    <w:rsid w:val="00523DF7"/>
    <w:rsid w:val="0052506A"/>
    <w:rsid w:val="00530D49"/>
    <w:rsid w:val="00535DC1"/>
    <w:rsid w:val="0053690B"/>
    <w:rsid w:val="00537B8F"/>
    <w:rsid w:val="00545750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877B0"/>
    <w:rsid w:val="005924C3"/>
    <w:rsid w:val="005949DA"/>
    <w:rsid w:val="005A042C"/>
    <w:rsid w:val="005A1ACC"/>
    <w:rsid w:val="005A323F"/>
    <w:rsid w:val="005A448D"/>
    <w:rsid w:val="005B1F5B"/>
    <w:rsid w:val="005B3251"/>
    <w:rsid w:val="005B3E31"/>
    <w:rsid w:val="005B40AF"/>
    <w:rsid w:val="005B5C8C"/>
    <w:rsid w:val="005C35D3"/>
    <w:rsid w:val="005C4B73"/>
    <w:rsid w:val="005C4F50"/>
    <w:rsid w:val="005D18D3"/>
    <w:rsid w:val="005D1A62"/>
    <w:rsid w:val="005D29F1"/>
    <w:rsid w:val="005E474D"/>
    <w:rsid w:val="005E4AFD"/>
    <w:rsid w:val="005E5D33"/>
    <w:rsid w:val="005F0F20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36EC9"/>
    <w:rsid w:val="00641F9C"/>
    <w:rsid w:val="00643151"/>
    <w:rsid w:val="00643D2E"/>
    <w:rsid w:val="0064443D"/>
    <w:rsid w:val="00645913"/>
    <w:rsid w:val="0065005F"/>
    <w:rsid w:val="00651852"/>
    <w:rsid w:val="00652555"/>
    <w:rsid w:val="00654B53"/>
    <w:rsid w:val="00657361"/>
    <w:rsid w:val="00662E46"/>
    <w:rsid w:val="00663964"/>
    <w:rsid w:val="00673A5D"/>
    <w:rsid w:val="0067458C"/>
    <w:rsid w:val="006831E5"/>
    <w:rsid w:val="00684431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E0E5E"/>
    <w:rsid w:val="006E4604"/>
    <w:rsid w:val="006E5209"/>
    <w:rsid w:val="006F0A0F"/>
    <w:rsid w:val="006F3739"/>
    <w:rsid w:val="006F7E42"/>
    <w:rsid w:val="007015CE"/>
    <w:rsid w:val="00701BDB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7F67A5"/>
    <w:rsid w:val="0080088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70507"/>
    <w:rsid w:val="008708E8"/>
    <w:rsid w:val="00872BBF"/>
    <w:rsid w:val="00872D35"/>
    <w:rsid w:val="00875B10"/>
    <w:rsid w:val="00875C37"/>
    <w:rsid w:val="0088532B"/>
    <w:rsid w:val="008861A2"/>
    <w:rsid w:val="00886271"/>
    <w:rsid w:val="008877DB"/>
    <w:rsid w:val="008917E8"/>
    <w:rsid w:val="00891A11"/>
    <w:rsid w:val="00892582"/>
    <w:rsid w:val="00892F04"/>
    <w:rsid w:val="00893955"/>
    <w:rsid w:val="0089507C"/>
    <w:rsid w:val="00895A12"/>
    <w:rsid w:val="008A3E20"/>
    <w:rsid w:val="008B2BCC"/>
    <w:rsid w:val="008B62CF"/>
    <w:rsid w:val="008B7A64"/>
    <w:rsid w:val="008C0A99"/>
    <w:rsid w:val="008C2B8A"/>
    <w:rsid w:val="008D217E"/>
    <w:rsid w:val="008D721A"/>
    <w:rsid w:val="008D7A97"/>
    <w:rsid w:val="008E3BA3"/>
    <w:rsid w:val="008E584B"/>
    <w:rsid w:val="008F4F97"/>
    <w:rsid w:val="009017B4"/>
    <w:rsid w:val="00911F5A"/>
    <w:rsid w:val="00915F28"/>
    <w:rsid w:val="00921406"/>
    <w:rsid w:val="00930235"/>
    <w:rsid w:val="00930AA3"/>
    <w:rsid w:val="00933DB8"/>
    <w:rsid w:val="00934248"/>
    <w:rsid w:val="009425EC"/>
    <w:rsid w:val="00945B29"/>
    <w:rsid w:val="0095429B"/>
    <w:rsid w:val="009559D1"/>
    <w:rsid w:val="00955CE4"/>
    <w:rsid w:val="009577EC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47AB"/>
    <w:rsid w:val="009C72EF"/>
    <w:rsid w:val="009D45EF"/>
    <w:rsid w:val="009D51F3"/>
    <w:rsid w:val="009E0B84"/>
    <w:rsid w:val="009F14CB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0C0D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55CDD"/>
    <w:rsid w:val="00A60E02"/>
    <w:rsid w:val="00A61DB2"/>
    <w:rsid w:val="00A62471"/>
    <w:rsid w:val="00A64166"/>
    <w:rsid w:val="00A6796D"/>
    <w:rsid w:val="00A70933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4ADB"/>
    <w:rsid w:val="00AA7C3E"/>
    <w:rsid w:val="00AA7C80"/>
    <w:rsid w:val="00AB64C7"/>
    <w:rsid w:val="00AB7BEE"/>
    <w:rsid w:val="00AC1070"/>
    <w:rsid w:val="00AC4D81"/>
    <w:rsid w:val="00AD1806"/>
    <w:rsid w:val="00AD3567"/>
    <w:rsid w:val="00AD4347"/>
    <w:rsid w:val="00AD5012"/>
    <w:rsid w:val="00AD5AE1"/>
    <w:rsid w:val="00AE45DE"/>
    <w:rsid w:val="00AE573F"/>
    <w:rsid w:val="00AE62BB"/>
    <w:rsid w:val="00AE7763"/>
    <w:rsid w:val="00AF20B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0023"/>
    <w:rsid w:val="00BB080D"/>
    <w:rsid w:val="00BB373E"/>
    <w:rsid w:val="00BB425F"/>
    <w:rsid w:val="00BC2806"/>
    <w:rsid w:val="00BD5492"/>
    <w:rsid w:val="00BE2419"/>
    <w:rsid w:val="00BE6C38"/>
    <w:rsid w:val="00BF00E2"/>
    <w:rsid w:val="00BF64F5"/>
    <w:rsid w:val="00C00F8C"/>
    <w:rsid w:val="00C0115A"/>
    <w:rsid w:val="00C024B8"/>
    <w:rsid w:val="00C04612"/>
    <w:rsid w:val="00C04BB5"/>
    <w:rsid w:val="00C06724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47CB"/>
    <w:rsid w:val="00C477C7"/>
    <w:rsid w:val="00C5074C"/>
    <w:rsid w:val="00C65560"/>
    <w:rsid w:val="00C656EE"/>
    <w:rsid w:val="00C66791"/>
    <w:rsid w:val="00C70371"/>
    <w:rsid w:val="00C81C63"/>
    <w:rsid w:val="00C8242D"/>
    <w:rsid w:val="00C857BD"/>
    <w:rsid w:val="00C9232E"/>
    <w:rsid w:val="00C92F23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25F1"/>
    <w:rsid w:val="00D14893"/>
    <w:rsid w:val="00D15B34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21FF"/>
    <w:rsid w:val="00D965E6"/>
    <w:rsid w:val="00D96A47"/>
    <w:rsid w:val="00DA0FE2"/>
    <w:rsid w:val="00DA3ECC"/>
    <w:rsid w:val="00DA4AC6"/>
    <w:rsid w:val="00DA72D2"/>
    <w:rsid w:val="00DB1486"/>
    <w:rsid w:val="00DB17BF"/>
    <w:rsid w:val="00DB1F67"/>
    <w:rsid w:val="00DB3C51"/>
    <w:rsid w:val="00DB73BD"/>
    <w:rsid w:val="00DC068A"/>
    <w:rsid w:val="00DC42D8"/>
    <w:rsid w:val="00DC4C15"/>
    <w:rsid w:val="00DC4C21"/>
    <w:rsid w:val="00DC5D32"/>
    <w:rsid w:val="00DC65AE"/>
    <w:rsid w:val="00DD0B56"/>
    <w:rsid w:val="00DD153F"/>
    <w:rsid w:val="00DD20F6"/>
    <w:rsid w:val="00DD60C9"/>
    <w:rsid w:val="00DE010B"/>
    <w:rsid w:val="00DE4CC3"/>
    <w:rsid w:val="00DE7C1A"/>
    <w:rsid w:val="00DF283B"/>
    <w:rsid w:val="00E01638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4E2A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73B"/>
    <w:rsid w:val="00E909B2"/>
    <w:rsid w:val="00E96756"/>
    <w:rsid w:val="00E96EC0"/>
    <w:rsid w:val="00E9707B"/>
    <w:rsid w:val="00EA4A51"/>
    <w:rsid w:val="00EA5DF1"/>
    <w:rsid w:val="00EB10FE"/>
    <w:rsid w:val="00EB5CBF"/>
    <w:rsid w:val="00EB603A"/>
    <w:rsid w:val="00EC7B5E"/>
    <w:rsid w:val="00ED376B"/>
    <w:rsid w:val="00ED39C3"/>
    <w:rsid w:val="00ED4FED"/>
    <w:rsid w:val="00ED74D9"/>
    <w:rsid w:val="00EE1E7C"/>
    <w:rsid w:val="00EE683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00CC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4EB1"/>
    <w:rsid w:val="00F80F31"/>
    <w:rsid w:val="00F85494"/>
    <w:rsid w:val="00F9190D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59DB"/>
    <w:rsid w:val="00FD65EE"/>
    <w:rsid w:val="00FD6674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91EB5E8"/>
  <w15:docId w15:val="{3D309F57-F189-460B-B236-F4B0F77F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customStyle="1" w:styleId="16">
    <w:name w:val="Без интервала Знак1"/>
    <w:uiPriority w:val="99"/>
    <w:locked/>
    <w:rsid w:val="00636EC9"/>
    <w:rPr>
      <w:rFonts w:ascii="Times New Roman" w:hAnsi="Times New Roman"/>
      <w:sz w:val="22"/>
      <w:szCs w:val="22"/>
      <w:lang w:val="en-US" w:eastAsia="en-US" w:bidi="ar-SA"/>
    </w:rPr>
  </w:style>
  <w:style w:type="character" w:styleId="af8">
    <w:name w:val="Hyperlink"/>
    <w:basedOn w:val="a0"/>
    <w:uiPriority w:val="99"/>
    <w:semiHidden/>
    <w:unhideWhenUsed/>
    <w:rsid w:val="00064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17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Ярец Анастасия Александровна</cp:lastModifiedBy>
  <cp:revision>11</cp:revision>
  <cp:lastPrinted>2019-07-04T10:01:00Z</cp:lastPrinted>
  <dcterms:created xsi:type="dcterms:W3CDTF">2019-04-19T11:27:00Z</dcterms:created>
  <dcterms:modified xsi:type="dcterms:W3CDTF">2019-08-20T07:07:00Z</dcterms:modified>
</cp:coreProperties>
</file>