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FFCA6" w14:textId="77777777" w:rsidR="00D76BD2" w:rsidRDefault="00D76BD2" w:rsidP="00D76BD2">
      <w:pPr>
        <w:spacing w:after="0" w:line="240" w:lineRule="auto"/>
        <w:rPr>
          <w:rFonts w:ascii="Times New Roman" w:hAnsi="Times New Roman"/>
          <w:b/>
          <w:szCs w:val="28"/>
        </w:rPr>
      </w:pPr>
      <w:bookmarkStart w:id="0" w:name="_Toc484683398"/>
    </w:p>
    <w:p w14:paraId="75BC46D1" w14:textId="77777777" w:rsidR="00D76BD2" w:rsidRDefault="00D76BD2" w:rsidP="00D76BD2">
      <w:pPr>
        <w:spacing w:after="0" w:line="240" w:lineRule="auto"/>
        <w:rPr>
          <w:rFonts w:ascii="Times New Roman" w:hAnsi="Times New Roman"/>
          <w:b/>
          <w:szCs w:val="28"/>
        </w:rPr>
      </w:pPr>
    </w:p>
    <w:p w14:paraId="52F5A9F3" w14:textId="77777777" w:rsidR="00D76BD2" w:rsidRDefault="00D76BD2" w:rsidP="00D76BD2">
      <w:pPr>
        <w:spacing w:after="0" w:line="240" w:lineRule="auto"/>
        <w:rPr>
          <w:rFonts w:ascii="Times New Roman" w:hAnsi="Times New Roman"/>
          <w:b/>
          <w:szCs w:val="28"/>
        </w:rPr>
      </w:pPr>
    </w:p>
    <w:p w14:paraId="3585AA04" w14:textId="77777777" w:rsidR="00D76BD2" w:rsidRDefault="00D76BD2" w:rsidP="00D76BD2">
      <w:pPr>
        <w:spacing w:after="0" w:line="240" w:lineRule="auto"/>
        <w:rPr>
          <w:rFonts w:ascii="Times New Roman" w:hAnsi="Times New Roman"/>
          <w:b/>
          <w:szCs w:val="28"/>
        </w:rPr>
      </w:pPr>
    </w:p>
    <w:p w14:paraId="63D83404" w14:textId="77777777" w:rsidR="00D76BD2" w:rsidRDefault="00D76BD2" w:rsidP="00D76BD2">
      <w:pPr>
        <w:spacing w:after="0" w:line="240" w:lineRule="auto"/>
        <w:rPr>
          <w:rFonts w:ascii="Times New Roman" w:hAnsi="Times New Roman"/>
          <w:b/>
          <w:szCs w:val="28"/>
        </w:rPr>
      </w:pPr>
    </w:p>
    <w:p w14:paraId="7850721D" w14:textId="77777777" w:rsidR="00D76BD2" w:rsidRDefault="00D76BD2" w:rsidP="00D76BD2">
      <w:pPr>
        <w:spacing w:after="0" w:line="240" w:lineRule="auto"/>
        <w:rPr>
          <w:rFonts w:ascii="Times New Roman" w:hAnsi="Times New Roman"/>
          <w:b/>
          <w:szCs w:val="28"/>
        </w:rPr>
      </w:pPr>
    </w:p>
    <w:p w14:paraId="4136BB9F" w14:textId="77777777" w:rsidR="00D76BD2" w:rsidRDefault="00D76BD2" w:rsidP="00D76BD2">
      <w:pPr>
        <w:spacing w:after="0" w:line="240" w:lineRule="auto"/>
        <w:rPr>
          <w:rFonts w:ascii="Times New Roman" w:hAnsi="Times New Roman"/>
          <w:b/>
          <w:szCs w:val="28"/>
        </w:rPr>
      </w:pPr>
    </w:p>
    <w:p w14:paraId="6BC88A9E" w14:textId="77777777" w:rsidR="00D76BD2" w:rsidRDefault="00D76BD2" w:rsidP="00D76BD2">
      <w:pPr>
        <w:spacing w:after="0" w:line="240" w:lineRule="auto"/>
        <w:rPr>
          <w:rFonts w:ascii="Times New Roman" w:hAnsi="Times New Roman"/>
          <w:b/>
          <w:szCs w:val="28"/>
        </w:rPr>
      </w:pPr>
    </w:p>
    <w:p w14:paraId="077AB0A9" w14:textId="77777777" w:rsidR="00D76BD2" w:rsidRDefault="00D76BD2" w:rsidP="00D76BD2">
      <w:pPr>
        <w:spacing w:after="0" w:line="240" w:lineRule="auto"/>
        <w:rPr>
          <w:rFonts w:ascii="Times New Roman" w:hAnsi="Times New Roman"/>
          <w:b/>
          <w:szCs w:val="28"/>
        </w:rPr>
      </w:pPr>
    </w:p>
    <w:p w14:paraId="08D7EE2F" w14:textId="77777777" w:rsidR="00D76BD2" w:rsidRDefault="00D76BD2" w:rsidP="00D76BD2">
      <w:pPr>
        <w:spacing w:after="0" w:line="240" w:lineRule="auto"/>
        <w:rPr>
          <w:rFonts w:ascii="Times New Roman" w:hAnsi="Times New Roman"/>
          <w:b/>
          <w:szCs w:val="28"/>
        </w:rPr>
      </w:pPr>
    </w:p>
    <w:p w14:paraId="5ED929AF" w14:textId="77777777" w:rsidR="00D76BD2" w:rsidRDefault="00D76BD2" w:rsidP="00D76BD2">
      <w:pPr>
        <w:spacing w:after="0" w:line="240" w:lineRule="auto"/>
        <w:rPr>
          <w:rFonts w:ascii="Times New Roman" w:hAnsi="Times New Roman"/>
          <w:b/>
          <w:szCs w:val="28"/>
        </w:rPr>
      </w:pPr>
    </w:p>
    <w:p w14:paraId="4C2109A5" w14:textId="77777777" w:rsidR="00D76BD2" w:rsidRDefault="00D76BD2" w:rsidP="00D76BD2">
      <w:pPr>
        <w:spacing w:after="0" w:line="240" w:lineRule="auto"/>
        <w:rPr>
          <w:rFonts w:ascii="Times New Roman" w:hAnsi="Times New Roman"/>
          <w:b/>
          <w:szCs w:val="28"/>
        </w:rPr>
      </w:pPr>
    </w:p>
    <w:p w14:paraId="2A7BEE70" w14:textId="77777777" w:rsidR="00D76BD2" w:rsidRDefault="00D76BD2" w:rsidP="00D76BD2">
      <w:pPr>
        <w:spacing w:after="0" w:line="240" w:lineRule="auto"/>
        <w:rPr>
          <w:rFonts w:ascii="Times New Roman" w:hAnsi="Times New Roman"/>
          <w:b/>
          <w:szCs w:val="28"/>
        </w:rPr>
      </w:pPr>
    </w:p>
    <w:p w14:paraId="6F76FCF3" w14:textId="77777777" w:rsidR="00CE0E6D" w:rsidRDefault="00CE0E6D" w:rsidP="00D76BD2">
      <w:pPr>
        <w:spacing w:after="0" w:line="240" w:lineRule="auto"/>
        <w:rPr>
          <w:rFonts w:ascii="Times New Roman" w:hAnsi="Times New Roman"/>
          <w:b/>
          <w:szCs w:val="28"/>
        </w:rPr>
      </w:pPr>
    </w:p>
    <w:p w14:paraId="42D2F44F" w14:textId="77777777" w:rsidR="00CE0E6D" w:rsidRDefault="00CE0E6D" w:rsidP="00D76BD2">
      <w:pPr>
        <w:spacing w:after="0" w:line="240" w:lineRule="auto"/>
        <w:rPr>
          <w:rFonts w:ascii="Times New Roman" w:hAnsi="Times New Roman"/>
          <w:b/>
          <w:szCs w:val="28"/>
        </w:rPr>
      </w:pPr>
    </w:p>
    <w:p w14:paraId="31F34242" w14:textId="77777777" w:rsidR="00D76BD2" w:rsidRDefault="00D76BD2" w:rsidP="00D76BD2">
      <w:pPr>
        <w:spacing w:after="0" w:line="240" w:lineRule="auto"/>
        <w:rPr>
          <w:rFonts w:ascii="Times New Roman" w:hAnsi="Times New Roman"/>
          <w:b/>
          <w:szCs w:val="28"/>
        </w:rPr>
      </w:pPr>
    </w:p>
    <w:p w14:paraId="5C41A35C" w14:textId="77777777" w:rsidR="00D76BD2" w:rsidRDefault="00D76BD2" w:rsidP="00D76BD2">
      <w:pPr>
        <w:spacing w:after="0" w:line="240" w:lineRule="auto"/>
        <w:rPr>
          <w:rFonts w:ascii="Times New Roman" w:hAnsi="Times New Roman"/>
          <w:b/>
          <w:szCs w:val="28"/>
        </w:rPr>
      </w:pPr>
    </w:p>
    <w:p w14:paraId="5D24E1E7" w14:textId="4ADD0D1B" w:rsidR="00123FFD" w:rsidRPr="004A5264" w:rsidRDefault="009E0AC7" w:rsidP="00123FFD">
      <w:pPr>
        <w:spacing w:after="0" w:line="240" w:lineRule="auto"/>
        <w:jc w:val="center"/>
        <w:rPr>
          <w:rFonts w:ascii="Times New Roman" w:hAnsi="Times New Roman"/>
          <w:b/>
          <w:sz w:val="32"/>
          <w:szCs w:val="32"/>
        </w:rPr>
      </w:pPr>
      <w:r>
        <w:rPr>
          <w:rFonts w:ascii="Times New Roman" w:hAnsi="Times New Roman"/>
          <w:b/>
          <w:sz w:val="32"/>
          <w:szCs w:val="32"/>
          <w:lang w:val="en-US"/>
        </w:rPr>
        <w:t>PL</w:t>
      </w:r>
      <w:r w:rsidR="00123FFD" w:rsidRPr="004A5264">
        <w:rPr>
          <w:rFonts w:ascii="Times New Roman" w:hAnsi="Times New Roman"/>
          <w:b/>
          <w:sz w:val="32"/>
          <w:szCs w:val="32"/>
        </w:rPr>
        <w:t xml:space="preserve"> </w:t>
      </w:r>
      <w:r>
        <w:rPr>
          <w:rFonts w:ascii="Times New Roman" w:hAnsi="Times New Roman"/>
          <w:b/>
          <w:sz w:val="32"/>
          <w:szCs w:val="32"/>
          <w:lang w:val="en-US"/>
        </w:rPr>
        <w:t>S</w:t>
      </w:r>
      <w:r w:rsidR="00123FFD" w:rsidRPr="004A5264">
        <w:rPr>
          <w:rFonts w:ascii="Times New Roman" w:hAnsi="Times New Roman"/>
          <w:b/>
          <w:sz w:val="32"/>
          <w:szCs w:val="32"/>
        </w:rPr>
        <w:t>М 9.1-</w:t>
      </w:r>
      <w:r w:rsidR="00201115" w:rsidRPr="004A5264">
        <w:rPr>
          <w:rFonts w:ascii="Times New Roman" w:hAnsi="Times New Roman"/>
          <w:b/>
          <w:sz w:val="32"/>
          <w:szCs w:val="32"/>
        </w:rPr>
        <w:t>20</w:t>
      </w:r>
      <w:r w:rsidR="00201115">
        <w:rPr>
          <w:rFonts w:ascii="Times New Roman" w:hAnsi="Times New Roman"/>
          <w:b/>
          <w:sz w:val="32"/>
          <w:szCs w:val="32"/>
        </w:rPr>
        <w:t>23</w:t>
      </w:r>
    </w:p>
    <w:p w14:paraId="6AFB40D1" w14:textId="77777777" w:rsidR="00D76BD2" w:rsidRDefault="00D76BD2" w:rsidP="00D76BD2">
      <w:pPr>
        <w:spacing w:after="0" w:line="240" w:lineRule="auto"/>
        <w:rPr>
          <w:rFonts w:ascii="Times New Roman" w:hAnsi="Times New Roman"/>
          <w:b/>
          <w:szCs w:val="28"/>
        </w:rPr>
      </w:pPr>
    </w:p>
    <w:p w14:paraId="43F29354" w14:textId="51A1EB00" w:rsidR="00D76BD2" w:rsidRPr="009E0AC7" w:rsidRDefault="009E0AC7" w:rsidP="00D76BD2">
      <w:pPr>
        <w:spacing w:after="0" w:line="360" w:lineRule="auto"/>
        <w:jc w:val="center"/>
        <w:rPr>
          <w:rFonts w:ascii="Times New Roman" w:hAnsi="Times New Roman"/>
          <w:b/>
          <w:sz w:val="32"/>
          <w:szCs w:val="32"/>
          <w:lang w:val="en-US"/>
        </w:rPr>
      </w:pPr>
      <w:r>
        <w:rPr>
          <w:rFonts w:ascii="Times New Roman" w:hAnsi="Times New Roman"/>
          <w:b/>
          <w:sz w:val="32"/>
          <w:szCs w:val="32"/>
          <w:lang w:val="en-US"/>
        </w:rPr>
        <w:t>QUALITY POLICY</w:t>
      </w:r>
    </w:p>
    <w:p w14:paraId="4C0ACBAA" w14:textId="77777777" w:rsidR="00D76BD2" w:rsidRPr="004268F9" w:rsidRDefault="00D76BD2" w:rsidP="00D76BD2">
      <w:pPr>
        <w:spacing w:after="0" w:line="480" w:lineRule="auto"/>
        <w:rPr>
          <w:rFonts w:ascii="Times New Roman" w:hAnsi="Times New Roman"/>
          <w:b/>
          <w:sz w:val="28"/>
          <w:szCs w:val="28"/>
        </w:rPr>
      </w:pPr>
    </w:p>
    <w:p w14:paraId="553423E8" w14:textId="77777777" w:rsidR="00D76BD2" w:rsidRDefault="00D76BD2" w:rsidP="00D76BD2">
      <w:pPr>
        <w:spacing w:after="0" w:line="240" w:lineRule="auto"/>
        <w:rPr>
          <w:rFonts w:ascii="Times New Roman" w:hAnsi="Times New Roman"/>
          <w:b/>
          <w:szCs w:val="28"/>
        </w:rPr>
      </w:pPr>
    </w:p>
    <w:p w14:paraId="4C524B61" w14:textId="77777777" w:rsidR="00D76BD2" w:rsidRDefault="00D76BD2" w:rsidP="00D76BD2">
      <w:pPr>
        <w:spacing w:after="0" w:line="240" w:lineRule="auto"/>
        <w:rPr>
          <w:rFonts w:ascii="Times New Roman" w:hAnsi="Times New Roman"/>
          <w:b/>
          <w:szCs w:val="28"/>
        </w:rPr>
      </w:pPr>
    </w:p>
    <w:p w14:paraId="0C22A8C0" w14:textId="77777777" w:rsidR="00D76BD2" w:rsidRDefault="00D76BD2" w:rsidP="00D76BD2">
      <w:pPr>
        <w:spacing w:after="0" w:line="240" w:lineRule="auto"/>
        <w:rPr>
          <w:rFonts w:ascii="Times New Roman" w:hAnsi="Times New Roman"/>
          <w:b/>
          <w:szCs w:val="28"/>
        </w:rPr>
      </w:pPr>
    </w:p>
    <w:p w14:paraId="28B07F6E" w14:textId="77777777" w:rsidR="00D76BD2" w:rsidRDefault="00D76BD2" w:rsidP="00D76BD2">
      <w:pPr>
        <w:spacing w:after="0" w:line="240" w:lineRule="auto"/>
        <w:rPr>
          <w:rFonts w:ascii="Times New Roman" w:hAnsi="Times New Roman"/>
          <w:b/>
          <w:szCs w:val="28"/>
        </w:rPr>
      </w:pPr>
    </w:p>
    <w:p w14:paraId="161562D9" w14:textId="77777777" w:rsidR="00D76BD2" w:rsidRDefault="00D76BD2" w:rsidP="00D76BD2">
      <w:pPr>
        <w:spacing w:after="0" w:line="240" w:lineRule="auto"/>
        <w:rPr>
          <w:rFonts w:ascii="Times New Roman" w:hAnsi="Times New Roman"/>
          <w:b/>
          <w:szCs w:val="28"/>
        </w:rPr>
      </w:pPr>
    </w:p>
    <w:p w14:paraId="4D7DE809" w14:textId="77777777" w:rsidR="00D76BD2" w:rsidRDefault="00D76BD2" w:rsidP="00D76BD2">
      <w:pPr>
        <w:spacing w:after="0" w:line="240" w:lineRule="auto"/>
        <w:rPr>
          <w:rFonts w:ascii="Times New Roman" w:hAnsi="Times New Roman"/>
          <w:b/>
          <w:szCs w:val="28"/>
        </w:rPr>
      </w:pPr>
    </w:p>
    <w:p w14:paraId="723B8CDD" w14:textId="77777777" w:rsidR="00D76BD2" w:rsidRDefault="00D76BD2" w:rsidP="00D76BD2">
      <w:pPr>
        <w:spacing w:after="0" w:line="240" w:lineRule="auto"/>
        <w:rPr>
          <w:rFonts w:ascii="Times New Roman" w:hAnsi="Times New Roman"/>
          <w:b/>
          <w:szCs w:val="28"/>
        </w:rPr>
      </w:pPr>
    </w:p>
    <w:p w14:paraId="7197F431" w14:textId="77777777" w:rsidR="00D76BD2" w:rsidRDefault="00D76BD2" w:rsidP="00D76BD2">
      <w:pPr>
        <w:spacing w:after="0" w:line="240" w:lineRule="auto"/>
        <w:rPr>
          <w:rFonts w:ascii="Times New Roman" w:hAnsi="Times New Roman"/>
          <w:b/>
          <w:szCs w:val="28"/>
        </w:rPr>
      </w:pPr>
    </w:p>
    <w:p w14:paraId="6D7FEA05" w14:textId="77777777" w:rsidR="007E2928" w:rsidRDefault="007E2928" w:rsidP="00D76BD2">
      <w:pPr>
        <w:spacing w:after="0" w:line="240" w:lineRule="auto"/>
        <w:rPr>
          <w:rFonts w:ascii="Times New Roman" w:hAnsi="Times New Roman"/>
          <w:b/>
          <w:szCs w:val="28"/>
        </w:rPr>
      </w:pPr>
    </w:p>
    <w:p w14:paraId="5F41A326" w14:textId="77777777" w:rsidR="007E2928" w:rsidRDefault="007E2928" w:rsidP="00D76BD2">
      <w:pPr>
        <w:spacing w:after="0" w:line="240" w:lineRule="auto"/>
        <w:rPr>
          <w:rFonts w:ascii="Times New Roman" w:hAnsi="Times New Roman"/>
          <w:b/>
          <w:szCs w:val="28"/>
        </w:rPr>
      </w:pPr>
    </w:p>
    <w:p w14:paraId="741CC0D8" w14:textId="77777777" w:rsidR="007E2928" w:rsidRDefault="007E2928" w:rsidP="00D76BD2">
      <w:pPr>
        <w:spacing w:after="0" w:line="240" w:lineRule="auto"/>
        <w:rPr>
          <w:rFonts w:ascii="Times New Roman" w:hAnsi="Times New Roman"/>
          <w:b/>
          <w:szCs w:val="28"/>
        </w:rPr>
      </w:pPr>
    </w:p>
    <w:p w14:paraId="0E1F08B8" w14:textId="77777777" w:rsidR="007E2928" w:rsidRDefault="007E2928" w:rsidP="00D76BD2">
      <w:pPr>
        <w:spacing w:after="0" w:line="240" w:lineRule="auto"/>
        <w:rPr>
          <w:rFonts w:ascii="Times New Roman" w:hAnsi="Times New Roman"/>
          <w:b/>
          <w:szCs w:val="28"/>
        </w:rPr>
      </w:pPr>
    </w:p>
    <w:p w14:paraId="579E4433" w14:textId="77777777" w:rsidR="001056F8" w:rsidRDefault="001056F8" w:rsidP="00D76BD2">
      <w:pPr>
        <w:spacing w:after="0" w:line="240" w:lineRule="auto"/>
        <w:rPr>
          <w:rFonts w:ascii="Times New Roman" w:hAnsi="Times New Roman"/>
          <w:b/>
          <w:szCs w:val="28"/>
        </w:rPr>
      </w:pPr>
    </w:p>
    <w:p w14:paraId="6DAB2BB2" w14:textId="77777777" w:rsidR="001056F8" w:rsidRDefault="001056F8" w:rsidP="00D76BD2">
      <w:pPr>
        <w:spacing w:after="0" w:line="240" w:lineRule="auto"/>
        <w:rPr>
          <w:rFonts w:ascii="Times New Roman" w:hAnsi="Times New Roman"/>
          <w:b/>
          <w:szCs w:val="28"/>
        </w:rPr>
      </w:pPr>
    </w:p>
    <w:p w14:paraId="5AB83D54" w14:textId="77777777" w:rsidR="001056F8" w:rsidRDefault="001056F8" w:rsidP="00D76BD2">
      <w:pPr>
        <w:spacing w:after="0" w:line="240" w:lineRule="auto"/>
        <w:rPr>
          <w:rFonts w:ascii="Times New Roman" w:hAnsi="Times New Roman"/>
          <w:b/>
          <w:szCs w:val="28"/>
        </w:rPr>
      </w:pPr>
    </w:p>
    <w:p w14:paraId="6915AE7B" w14:textId="77777777" w:rsidR="00D76BD2" w:rsidRDefault="00D76BD2" w:rsidP="00D76BD2">
      <w:pPr>
        <w:spacing w:after="0" w:line="240" w:lineRule="auto"/>
        <w:rPr>
          <w:rFonts w:ascii="Times New Roman" w:hAnsi="Times New Roman"/>
          <w:b/>
          <w:szCs w:val="28"/>
        </w:rPr>
      </w:pPr>
    </w:p>
    <w:p w14:paraId="7FD3A542" w14:textId="77777777" w:rsidR="00B4365A" w:rsidRDefault="00B4365A" w:rsidP="00D76BD2">
      <w:pPr>
        <w:spacing w:after="0" w:line="240" w:lineRule="auto"/>
        <w:rPr>
          <w:rFonts w:ascii="Times New Roman" w:hAnsi="Times New Roman"/>
          <w:b/>
          <w:szCs w:val="28"/>
        </w:rPr>
      </w:pPr>
    </w:p>
    <w:p w14:paraId="7577C97D" w14:textId="77777777" w:rsidR="00123FFD" w:rsidRDefault="00123FFD" w:rsidP="00D76BD2">
      <w:pPr>
        <w:spacing w:after="0" w:line="240" w:lineRule="auto"/>
        <w:rPr>
          <w:rFonts w:ascii="Times New Roman" w:hAnsi="Times New Roman"/>
          <w:b/>
          <w:szCs w:val="28"/>
        </w:rPr>
      </w:pPr>
    </w:p>
    <w:p w14:paraId="0F79ABA3" w14:textId="77777777" w:rsidR="00B4365A" w:rsidRDefault="00B4365A" w:rsidP="00D76BD2">
      <w:pPr>
        <w:spacing w:after="0" w:line="240" w:lineRule="auto"/>
        <w:rPr>
          <w:rFonts w:ascii="Times New Roman" w:hAnsi="Times New Roman"/>
          <w:b/>
          <w:szCs w:val="28"/>
        </w:rPr>
      </w:pPr>
    </w:p>
    <w:p w14:paraId="49BA3CFE" w14:textId="77777777" w:rsidR="00D76BD2" w:rsidRDefault="00D76BD2" w:rsidP="00D76BD2">
      <w:pPr>
        <w:spacing w:after="0" w:line="240" w:lineRule="auto"/>
        <w:rPr>
          <w:rFonts w:ascii="Times New Roman" w:hAnsi="Times New Roman"/>
          <w:b/>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5716"/>
      </w:tblGrid>
      <w:tr w:rsidR="007E2928" w:rsidRPr="008039D8" w14:paraId="1CBA7AC3" w14:textId="77777777" w:rsidTr="007F14BE">
        <w:trPr>
          <w:trHeight w:val="99"/>
        </w:trPr>
        <w:tc>
          <w:tcPr>
            <w:tcW w:w="1999" w:type="pct"/>
          </w:tcPr>
          <w:p w14:paraId="08C2BFA2" w14:textId="57B1391E" w:rsidR="007E2928" w:rsidRPr="008039D8" w:rsidRDefault="009E0AC7" w:rsidP="008039D8">
            <w:pPr>
              <w:pStyle w:val="ad"/>
              <w:rPr>
                <w:rFonts w:ascii="Times New Roman" w:hAnsi="Times New Roman"/>
                <w:sz w:val="24"/>
                <w:szCs w:val="24"/>
              </w:rPr>
            </w:pPr>
            <w:proofErr w:type="spellStart"/>
            <w:r w:rsidRPr="008039D8">
              <w:rPr>
                <w:rFonts w:ascii="Times New Roman" w:hAnsi="Times New Roman"/>
                <w:sz w:val="24"/>
                <w:szCs w:val="24"/>
              </w:rPr>
              <w:t>Developed</w:t>
            </w:r>
            <w:proofErr w:type="spellEnd"/>
          </w:p>
        </w:tc>
        <w:tc>
          <w:tcPr>
            <w:tcW w:w="3001" w:type="pct"/>
          </w:tcPr>
          <w:p w14:paraId="323E57C9" w14:textId="392A19C5" w:rsidR="007E2928" w:rsidRPr="008039D8" w:rsidRDefault="009E0AC7" w:rsidP="008039D8">
            <w:pPr>
              <w:pStyle w:val="ad"/>
              <w:rPr>
                <w:rFonts w:ascii="Times New Roman" w:hAnsi="Times New Roman"/>
                <w:sz w:val="24"/>
                <w:szCs w:val="24"/>
              </w:rPr>
            </w:pPr>
            <w:r w:rsidRPr="008039D8">
              <w:rPr>
                <w:rFonts w:ascii="Times New Roman" w:hAnsi="Times New Roman"/>
                <w:sz w:val="24"/>
                <w:szCs w:val="24"/>
              </w:rPr>
              <w:t>Quality Manager</w:t>
            </w:r>
          </w:p>
        </w:tc>
      </w:tr>
      <w:tr w:rsidR="007E2928" w:rsidRPr="008039D8" w14:paraId="06CD0AF9" w14:textId="77777777" w:rsidTr="008039D8">
        <w:trPr>
          <w:trHeight w:val="64"/>
        </w:trPr>
        <w:tc>
          <w:tcPr>
            <w:tcW w:w="1999" w:type="pct"/>
          </w:tcPr>
          <w:p w14:paraId="39043BEB" w14:textId="0292C8F5" w:rsidR="007E2928" w:rsidRPr="009E0AC7" w:rsidRDefault="009E0AC7" w:rsidP="008039D8">
            <w:pPr>
              <w:pStyle w:val="ad"/>
              <w:rPr>
                <w:rFonts w:ascii="Times New Roman" w:hAnsi="Times New Roman"/>
                <w:sz w:val="24"/>
                <w:szCs w:val="24"/>
                <w:lang w:val="en-US"/>
              </w:rPr>
            </w:pPr>
            <w:proofErr w:type="spellStart"/>
            <w:r w:rsidRPr="008039D8">
              <w:rPr>
                <w:rFonts w:ascii="Times New Roman" w:hAnsi="Times New Roman"/>
                <w:sz w:val="24"/>
                <w:szCs w:val="24"/>
              </w:rPr>
              <w:t>Responsible</w:t>
            </w:r>
            <w:proofErr w:type="spellEnd"/>
            <w:r w:rsidRPr="008039D8">
              <w:rPr>
                <w:rFonts w:ascii="Times New Roman" w:hAnsi="Times New Roman"/>
                <w:sz w:val="24"/>
                <w:szCs w:val="24"/>
              </w:rPr>
              <w:t xml:space="preserve"> </w:t>
            </w:r>
            <w:proofErr w:type="spellStart"/>
            <w:r w:rsidRPr="008039D8">
              <w:rPr>
                <w:rFonts w:ascii="Times New Roman" w:hAnsi="Times New Roman"/>
                <w:sz w:val="24"/>
                <w:szCs w:val="24"/>
              </w:rPr>
              <w:t>for</w:t>
            </w:r>
            <w:proofErr w:type="spellEnd"/>
            <w:r w:rsidRPr="008039D8">
              <w:rPr>
                <w:rFonts w:ascii="Times New Roman" w:hAnsi="Times New Roman"/>
                <w:sz w:val="24"/>
                <w:szCs w:val="24"/>
              </w:rPr>
              <w:t xml:space="preserve"> </w:t>
            </w:r>
            <w:r>
              <w:rPr>
                <w:rFonts w:ascii="Times New Roman" w:hAnsi="Times New Roman"/>
                <w:sz w:val="24"/>
                <w:szCs w:val="24"/>
                <w:lang w:val="en-US"/>
              </w:rPr>
              <w:t>review</w:t>
            </w:r>
          </w:p>
        </w:tc>
        <w:tc>
          <w:tcPr>
            <w:tcW w:w="3001" w:type="pct"/>
          </w:tcPr>
          <w:p w14:paraId="727B7F3C" w14:textId="0FBC23C3" w:rsidR="007E2928" w:rsidRPr="008039D8" w:rsidRDefault="009E0AC7" w:rsidP="008039D8">
            <w:pPr>
              <w:pStyle w:val="ad"/>
              <w:rPr>
                <w:rFonts w:ascii="Times New Roman" w:hAnsi="Times New Roman"/>
                <w:sz w:val="24"/>
                <w:szCs w:val="24"/>
              </w:rPr>
            </w:pPr>
            <w:r w:rsidRPr="008039D8">
              <w:rPr>
                <w:rFonts w:ascii="Times New Roman" w:hAnsi="Times New Roman"/>
                <w:sz w:val="24"/>
                <w:szCs w:val="24"/>
              </w:rPr>
              <w:t xml:space="preserve">Quality Manager </w:t>
            </w:r>
          </w:p>
        </w:tc>
      </w:tr>
      <w:tr w:rsidR="007E2928" w:rsidRPr="008039D8" w14:paraId="11992EE2" w14:textId="77777777" w:rsidTr="007F14BE">
        <w:trPr>
          <w:trHeight w:val="141"/>
        </w:trPr>
        <w:tc>
          <w:tcPr>
            <w:tcW w:w="1999" w:type="pct"/>
          </w:tcPr>
          <w:p w14:paraId="032AB4C6" w14:textId="75594FFE" w:rsidR="007E2928" w:rsidRPr="004179A7" w:rsidRDefault="009E0AC7" w:rsidP="008039D8">
            <w:pPr>
              <w:pStyle w:val="ad"/>
              <w:rPr>
                <w:rFonts w:ascii="Times New Roman" w:hAnsi="Times New Roman"/>
                <w:sz w:val="24"/>
                <w:szCs w:val="24"/>
              </w:rPr>
            </w:pPr>
            <w:proofErr w:type="spellStart"/>
            <w:r w:rsidRPr="004179A7">
              <w:rPr>
                <w:rFonts w:ascii="Times New Roman" w:hAnsi="Times New Roman"/>
                <w:sz w:val="24"/>
                <w:szCs w:val="24"/>
              </w:rPr>
              <w:t>Approved</w:t>
            </w:r>
            <w:proofErr w:type="spellEnd"/>
          </w:p>
        </w:tc>
        <w:tc>
          <w:tcPr>
            <w:tcW w:w="3001" w:type="pct"/>
          </w:tcPr>
          <w:p w14:paraId="1865B9E4" w14:textId="7A94CD27" w:rsidR="007E2928" w:rsidRPr="00C30407" w:rsidRDefault="009E0AC7" w:rsidP="008039D8">
            <w:pPr>
              <w:pStyle w:val="ad"/>
              <w:rPr>
                <w:rFonts w:ascii="Times New Roman" w:hAnsi="Times New Roman"/>
                <w:sz w:val="24"/>
                <w:szCs w:val="24"/>
              </w:rPr>
            </w:pPr>
            <w:proofErr w:type="spellStart"/>
            <w:r w:rsidRPr="00C30407">
              <w:rPr>
                <w:rFonts w:ascii="Times New Roman" w:hAnsi="Times New Roman"/>
                <w:sz w:val="24"/>
                <w:szCs w:val="24"/>
              </w:rPr>
              <w:t>Order</w:t>
            </w:r>
            <w:proofErr w:type="spellEnd"/>
            <w:r w:rsidRPr="00C30407">
              <w:rPr>
                <w:rFonts w:ascii="Times New Roman" w:hAnsi="Times New Roman"/>
                <w:sz w:val="24"/>
                <w:szCs w:val="24"/>
              </w:rPr>
              <w:t xml:space="preserve"> </w:t>
            </w:r>
            <w:r>
              <w:rPr>
                <w:rFonts w:ascii="Times New Roman" w:hAnsi="Times New Roman"/>
                <w:sz w:val="24"/>
                <w:szCs w:val="24"/>
                <w:lang w:val="en-US"/>
              </w:rPr>
              <w:t>of</w:t>
            </w:r>
            <w:r w:rsidR="007E2928" w:rsidRPr="00C30407">
              <w:rPr>
                <w:rFonts w:ascii="Times New Roman" w:hAnsi="Times New Roman"/>
                <w:sz w:val="24"/>
                <w:szCs w:val="24"/>
              </w:rPr>
              <w:t xml:space="preserve"> </w:t>
            </w:r>
            <w:r w:rsidR="00F93783" w:rsidRPr="00BF5276">
              <w:rPr>
                <w:rFonts w:ascii="Times New Roman" w:hAnsi="Times New Roman"/>
                <w:sz w:val="24"/>
                <w:szCs w:val="24"/>
              </w:rPr>
              <w:t>25</w:t>
            </w:r>
            <w:r w:rsidR="004179A7" w:rsidRPr="00C30407">
              <w:rPr>
                <w:rFonts w:ascii="Times New Roman" w:hAnsi="Times New Roman"/>
                <w:sz w:val="24"/>
                <w:szCs w:val="24"/>
              </w:rPr>
              <w:t>.0</w:t>
            </w:r>
            <w:r w:rsidR="00F93783" w:rsidRPr="00BF5276">
              <w:rPr>
                <w:rFonts w:ascii="Times New Roman" w:hAnsi="Times New Roman"/>
                <w:sz w:val="24"/>
                <w:szCs w:val="24"/>
              </w:rPr>
              <w:t>7</w:t>
            </w:r>
            <w:r w:rsidR="004179A7" w:rsidRPr="00C30407">
              <w:rPr>
                <w:rFonts w:ascii="Times New Roman" w:hAnsi="Times New Roman"/>
                <w:sz w:val="24"/>
                <w:szCs w:val="24"/>
              </w:rPr>
              <w:t>.202</w:t>
            </w:r>
            <w:r w:rsidR="00201115" w:rsidRPr="00BF5276">
              <w:rPr>
                <w:rFonts w:ascii="Times New Roman" w:hAnsi="Times New Roman"/>
                <w:sz w:val="24"/>
                <w:szCs w:val="24"/>
              </w:rPr>
              <w:t>3</w:t>
            </w:r>
            <w:r w:rsidR="004179A7" w:rsidRPr="00C30407">
              <w:rPr>
                <w:rFonts w:ascii="Times New Roman" w:hAnsi="Times New Roman"/>
                <w:sz w:val="24"/>
                <w:szCs w:val="24"/>
              </w:rPr>
              <w:t xml:space="preserve"> №</w:t>
            </w:r>
            <w:r w:rsidR="00C30407" w:rsidRPr="00C30407">
              <w:rPr>
                <w:rFonts w:ascii="Times New Roman" w:hAnsi="Times New Roman"/>
                <w:sz w:val="24"/>
                <w:szCs w:val="24"/>
              </w:rPr>
              <w:t>1</w:t>
            </w:r>
            <w:r w:rsidR="00C30407" w:rsidRPr="00BF5276">
              <w:rPr>
                <w:rFonts w:ascii="Times New Roman" w:hAnsi="Times New Roman"/>
                <w:sz w:val="24"/>
                <w:szCs w:val="24"/>
              </w:rPr>
              <w:t>1</w:t>
            </w:r>
            <w:r w:rsidR="00C30407" w:rsidRPr="00C30407">
              <w:rPr>
                <w:rFonts w:ascii="Times New Roman" w:hAnsi="Times New Roman"/>
                <w:sz w:val="24"/>
                <w:szCs w:val="24"/>
              </w:rPr>
              <w:t>2</w:t>
            </w:r>
          </w:p>
        </w:tc>
      </w:tr>
      <w:tr w:rsidR="007E2928" w:rsidRPr="008039D8" w14:paraId="52ADD32D" w14:textId="77777777" w:rsidTr="007F14BE">
        <w:trPr>
          <w:trHeight w:val="141"/>
        </w:trPr>
        <w:tc>
          <w:tcPr>
            <w:tcW w:w="1999" w:type="pct"/>
          </w:tcPr>
          <w:p w14:paraId="3CA8506B" w14:textId="2DF5B223" w:rsidR="007E2928" w:rsidRPr="008039D8" w:rsidRDefault="009E0AC7" w:rsidP="008039D8">
            <w:pPr>
              <w:pStyle w:val="ad"/>
              <w:rPr>
                <w:rFonts w:ascii="Times New Roman" w:hAnsi="Times New Roman"/>
                <w:sz w:val="24"/>
                <w:szCs w:val="24"/>
              </w:rPr>
            </w:pPr>
            <w:proofErr w:type="spellStart"/>
            <w:r w:rsidRPr="008039D8">
              <w:rPr>
                <w:rFonts w:ascii="Times New Roman" w:hAnsi="Times New Roman"/>
                <w:sz w:val="24"/>
                <w:szCs w:val="24"/>
              </w:rPr>
              <w:t>Put</w:t>
            </w:r>
            <w:proofErr w:type="spellEnd"/>
            <w:r w:rsidRPr="008039D8">
              <w:rPr>
                <w:rFonts w:ascii="Times New Roman" w:hAnsi="Times New Roman"/>
                <w:sz w:val="24"/>
                <w:szCs w:val="24"/>
              </w:rPr>
              <w:t xml:space="preserve"> </w:t>
            </w:r>
            <w:proofErr w:type="spellStart"/>
            <w:r w:rsidRPr="008039D8">
              <w:rPr>
                <w:rFonts w:ascii="Times New Roman" w:hAnsi="Times New Roman"/>
                <w:sz w:val="24"/>
                <w:szCs w:val="24"/>
              </w:rPr>
              <w:t>into</w:t>
            </w:r>
            <w:proofErr w:type="spellEnd"/>
            <w:r w:rsidRPr="008039D8">
              <w:rPr>
                <w:rFonts w:ascii="Times New Roman" w:hAnsi="Times New Roman"/>
                <w:sz w:val="24"/>
                <w:szCs w:val="24"/>
              </w:rPr>
              <w:t xml:space="preserve"> </w:t>
            </w:r>
            <w:proofErr w:type="spellStart"/>
            <w:r w:rsidRPr="008039D8">
              <w:rPr>
                <w:rFonts w:ascii="Times New Roman" w:hAnsi="Times New Roman"/>
                <w:sz w:val="24"/>
                <w:szCs w:val="24"/>
              </w:rPr>
              <w:t>effect</w:t>
            </w:r>
            <w:proofErr w:type="spellEnd"/>
          </w:p>
        </w:tc>
        <w:tc>
          <w:tcPr>
            <w:tcW w:w="3001" w:type="pct"/>
          </w:tcPr>
          <w:p w14:paraId="2021FB2E" w14:textId="2F244B31" w:rsidR="007E2928" w:rsidRPr="00201115" w:rsidRDefault="009E0AC7" w:rsidP="008039D8">
            <w:pPr>
              <w:pStyle w:val="ad"/>
              <w:rPr>
                <w:rFonts w:ascii="Times New Roman" w:hAnsi="Times New Roman"/>
                <w:sz w:val="24"/>
                <w:szCs w:val="24"/>
              </w:rPr>
            </w:pPr>
            <w:r>
              <w:rPr>
                <w:rFonts w:ascii="Times New Roman" w:hAnsi="Times New Roman"/>
                <w:sz w:val="24"/>
                <w:szCs w:val="24"/>
                <w:lang w:val="en-US"/>
              </w:rPr>
              <w:t>from</w:t>
            </w:r>
            <w:r w:rsidR="007E2928" w:rsidRPr="00201115">
              <w:rPr>
                <w:rFonts w:ascii="Times New Roman" w:hAnsi="Times New Roman"/>
                <w:sz w:val="24"/>
                <w:szCs w:val="24"/>
              </w:rPr>
              <w:t xml:space="preserve"> </w:t>
            </w:r>
            <w:r w:rsidR="00201115" w:rsidRPr="00BF5276">
              <w:rPr>
                <w:rFonts w:ascii="Times New Roman" w:hAnsi="Times New Roman"/>
                <w:sz w:val="24"/>
                <w:szCs w:val="24"/>
              </w:rPr>
              <w:t>01</w:t>
            </w:r>
            <w:r w:rsidR="002C06F6" w:rsidRPr="00201115">
              <w:rPr>
                <w:rFonts w:ascii="Times New Roman" w:hAnsi="Times New Roman"/>
                <w:sz w:val="24"/>
                <w:szCs w:val="24"/>
              </w:rPr>
              <w:t>.0</w:t>
            </w:r>
            <w:r w:rsidR="00201115" w:rsidRPr="00BF5276">
              <w:rPr>
                <w:rFonts w:ascii="Times New Roman" w:hAnsi="Times New Roman"/>
                <w:sz w:val="24"/>
                <w:szCs w:val="24"/>
              </w:rPr>
              <w:t>8</w:t>
            </w:r>
            <w:r w:rsidR="002C06F6" w:rsidRPr="00201115">
              <w:rPr>
                <w:rFonts w:ascii="Times New Roman" w:hAnsi="Times New Roman"/>
                <w:sz w:val="24"/>
                <w:szCs w:val="24"/>
              </w:rPr>
              <w:t>.202</w:t>
            </w:r>
            <w:r w:rsidR="00201115" w:rsidRPr="00201115">
              <w:rPr>
                <w:rFonts w:ascii="Times New Roman" w:hAnsi="Times New Roman"/>
                <w:sz w:val="24"/>
                <w:szCs w:val="24"/>
              </w:rPr>
              <w:t>3</w:t>
            </w:r>
          </w:p>
        </w:tc>
      </w:tr>
      <w:tr w:rsidR="007E2928" w:rsidRPr="008039D8" w14:paraId="3371C00E" w14:textId="77777777" w:rsidTr="007F14BE">
        <w:trPr>
          <w:trHeight w:val="141"/>
        </w:trPr>
        <w:tc>
          <w:tcPr>
            <w:tcW w:w="1999" w:type="pct"/>
          </w:tcPr>
          <w:p w14:paraId="718B396A" w14:textId="5A7929AE" w:rsidR="007E2928" w:rsidRPr="009E0AC7" w:rsidRDefault="009E0AC7" w:rsidP="008039D8">
            <w:pPr>
              <w:pStyle w:val="ad"/>
              <w:rPr>
                <w:rFonts w:ascii="Times New Roman" w:hAnsi="Times New Roman"/>
                <w:sz w:val="24"/>
                <w:szCs w:val="24"/>
                <w:lang w:val="en-US"/>
              </w:rPr>
            </w:pPr>
            <w:r>
              <w:rPr>
                <w:rFonts w:ascii="Times New Roman" w:hAnsi="Times New Roman"/>
                <w:sz w:val="24"/>
                <w:szCs w:val="24"/>
                <w:lang w:val="en-US"/>
              </w:rPr>
              <w:t>Revision</w:t>
            </w:r>
          </w:p>
        </w:tc>
        <w:tc>
          <w:tcPr>
            <w:tcW w:w="3001" w:type="pct"/>
          </w:tcPr>
          <w:p w14:paraId="05269012" w14:textId="3ECAAB55" w:rsidR="007E2928" w:rsidRPr="008039D8" w:rsidRDefault="00A34375" w:rsidP="008039D8">
            <w:pPr>
              <w:pStyle w:val="ad"/>
              <w:rPr>
                <w:rFonts w:ascii="Times New Roman" w:hAnsi="Times New Roman"/>
                <w:sz w:val="24"/>
                <w:szCs w:val="24"/>
              </w:rPr>
            </w:pPr>
            <w:r w:rsidRPr="008039D8">
              <w:rPr>
                <w:rFonts w:ascii="Times New Roman" w:hAnsi="Times New Roman"/>
                <w:sz w:val="24"/>
                <w:szCs w:val="24"/>
              </w:rPr>
              <w:t>0</w:t>
            </w:r>
            <w:r w:rsidR="00201115">
              <w:rPr>
                <w:rFonts w:ascii="Times New Roman" w:hAnsi="Times New Roman"/>
                <w:sz w:val="24"/>
                <w:szCs w:val="24"/>
              </w:rPr>
              <w:t>8</w:t>
            </w:r>
          </w:p>
        </w:tc>
      </w:tr>
      <w:tr w:rsidR="007E2928" w:rsidRPr="008039D8" w14:paraId="1CD6E4DA" w14:textId="77777777" w:rsidTr="007F14BE">
        <w:trPr>
          <w:trHeight w:val="141"/>
        </w:trPr>
        <w:tc>
          <w:tcPr>
            <w:tcW w:w="1999" w:type="pct"/>
          </w:tcPr>
          <w:p w14:paraId="2DE1B7CC" w14:textId="2A351862" w:rsidR="007E2928" w:rsidRPr="009E0AC7" w:rsidRDefault="009E0AC7" w:rsidP="008039D8">
            <w:pPr>
              <w:pStyle w:val="ad"/>
              <w:rPr>
                <w:rFonts w:ascii="Times New Roman" w:hAnsi="Times New Roman"/>
                <w:sz w:val="24"/>
                <w:szCs w:val="24"/>
                <w:lang w:val="en-US"/>
              </w:rPr>
            </w:pPr>
            <w:r>
              <w:rPr>
                <w:rFonts w:ascii="Times New Roman" w:hAnsi="Times New Roman"/>
                <w:sz w:val="24"/>
                <w:szCs w:val="24"/>
                <w:lang w:val="en-US"/>
              </w:rPr>
              <w:t>Amendment</w:t>
            </w:r>
          </w:p>
        </w:tc>
        <w:tc>
          <w:tcPr>
            <w:tcW w:w="3001" w:type="pct"/>
          </w:tcPr>
          <w:p w14:paraId="4754D75D" w14:textId="77777777" w:rsidR="007E2928" w:rsidRPr="008039D8" w:rsidRDefault="007E2928" w:rsidP="008039D8">
            <w:pPr>
              <w:pStyle w:val="ad"/>
              <w:rPr>
                <w:rFonts w:ascii="Times New Roman" w:hAnsi="Times New Roman"/>
                <w:sz w:val="24"/>
                <w:szCs w:val="24"/>
              </w:rPr>
            </w:pPr>
          </w:p>
        </w:tc>
      </w:tr>
      <w:tr w:rsidR="007E2928" w:rsidRPr="008039D8" w14:paraId="42C1A355" w14:textId="77777777" w:rsidTr="007F14BE">
        <w:trPr>
          <w:trHeight w:val="141"/>
        </w:trPr>
        <w:tc>
          <w:tcPr>
            <w:tcW w:w="1999" w:type="pct"/>
          </w:tcPr>
          <w:p w14:paraId="7B163F68" w14:textId="72868C65" w:rsidR="007E2928" w:rsidRPr="009E0AC7" w:rsidRDefault="009E0AC7" w:rsidP="008039D8">
            <w:pPr>
              <w:pStyle w:val="ad"/>
              <w:rPr>
                <w:rFonts w:ascii="Times New Roman" w:hAnsi="Times New Roman"/>
                <w:sz w:val="24"/>
                <w:szCs w:val="24"/>
                <w:lang w:val="en-US"/>
              </w:rPr>
            </w:pPr>
            <w:r>
              <w:rPr>
                <w:rFonts w:ascii="Times New Roman" w:hAnsi="Times New Roman"/>
                <w:sz w:val="24"/>
                <w:szCs w:val="24"/>
                <w:lang w:val="en-US"/>
              </w:rPr>
              <w:t>Copy</w:t>
            </w:r>
          </w:p>
        </w:tc>
        <w:tc>
          <w:tcPr>
            <w:tcW w:w="3001" w:type="pct"/>
          </w:tcPr>
          <w:p w14:paraId="1F8B6C2C" w14:textId="17A2740D" w:rsidR="007E2928" w:rsidRPr="009E0AC7" w:rsidRDefault="009E0AC7" w:rsidP="008039D8">
            <w:pPr>
              <w:pStyle w:val="ad"/>
              <w:rPr>
                <w:rFonts w:ascii="Times New Roman" w:hAnsi="Times New Roman"/>
                <w:sz w:val="24"/>
                <w:szCs w:val="24"/>
                <w:lang w:val="en-US"/>
              </w:rPr>
            </w:pPr>
            <w:r>
              <w:rPr>
                <w:rFonts w:ascii="Times New Roman" w:hAnsi="Times New Roman"/>
                <w:sz w:val="24"/>
                <w:szCs w:val="24"/>
                <w:lang w:val="en-US"/>
              </w:rPr>
              <w:t>Control copy</w:t>
            </w:r>
          </w:p>
        </w:tc>
      </w:tr>
      <w:tr w:rsidR="00E65352" w:rsidRPr="008039D8" w14:paraId="4EEF9C55" w14:textId="77777777" w:rsidTr="007F14BE">
        <w:trPr>
          <w:trHeight w:val="141"/>
        </w:trPr>
        <w:tc>
          <w:tcPr>
            <w:tcW w:w="1999" w:type="pct"/>
          </w:tcPr>
          <w:p w14:paraId="19A3DB6F" w14:textId="1CFE7C26" w:rsidR="00E65352" w:rsidRPr="009E0AC7" w:rsidRDefault="009E0AC7" w:rsidP="008039D8">
            <w:pPr>
              <w:pStyle w:val="ad"/>
              <w:rPr>
                <w:rFonts w:ascii="Times New Roman" w:hAnsi="Times New Roman"/>
                <w:sz w:val="24"/>
                <w:szCs w:val="24"/>
                <w:lang w:val="en-US"/>
              </w:rPr>
            </w:pPr>
            <w:r>
              <w:rPr>
                <w:rFonts w:ascii="Times New Roman" w:hAnsi="Times New Roman"/>
                <w:sz w:val="24"/>
                <w:szCs w:val="24"/>
                <w:lang w:val="en-US"/>
              </w:rPr>
              <w:t>Substitutes</w:t>
            </w:r>
          </w:p>
        </w:tc>
        <w:tc>
          <w:tcPr>
            <w:tcW w:w="3001" w:type="pct"/>
          </w:tcPr>
          <w:p w14:paraId="3E25E5D9" w14:textId="42B80112" w:rsidR="00E65352" w:rsidRPr="008039D8" w:rsidRDefault="009E0AC7" w:rsidP="008039D8">
            <w:pPr>
              <w:pStyle w:val="ad"/>
              <w:rPr>
                <w:rFonts w:ascii="Times New Roman" w:hAnsi="Times New Roman"/>
                <w:sz w:val="24"/>
                <w:szCs w:val="24"/>
              </w:rPr>
            </w:pPr>
            <w:r>
              <w:rPr>
                <w:rFonts w:ascii="Times New Roman" w:hAnsi="Times New Roman"/>
                <w:sz w:val="24"/>
                <w:szCs w:val="24"/>
                <w:lang w:val="en-US"/>
              </w:rPr>
              <w:t>PL S</w:t>
            </w:r>
            <w:r w:rsidR="00A34375">
              <w:rPr>
                <w:rFonts w:ascii="Times New Roman" w:hAnsi="Times New Roman"/>
                <w:sz w:val="24"/>
                <w:szCs w:val="24"/>
              </w:rPr>
              <w:t>М 9.1-</w:t>
            </w:r>
            <w:r w:rsidR="00201115">
              <w:rPr>
                <w:rFonts w:ascii="Times New Roman" w:hAnsi="Times New Roman"/>
                <w:sz w:val="24"/>
                <w:szCs w:val="24"/>
              </w:rPr>
              <w:t>2021</w:t>
            </w:r>
          </w:p>
        </w:tc>
      </w:tr>
    </w:tbl>
    <w:p w14:paraId="6D694BC3" w14:textId="77777777" w:rsidR="002C06F6" w:rsidRDefault="002C06F6" w:rsidP="0010542E">
      <w:pPr>
        <w:pStyle w:val="ad"/>
        <w:spacing w:after="60"/>
        <w:jc w:val="center"/>
        <w:rPr>
          <w:rFonts w:ascii="Times New Roman" w:hAnsi="Times New Roman"/>
          <w:b/>
          <w:sz w:val="26"/>
          <w:szCs w:val="26"/>
        </w:rPr>
      </w:pPr>
    </w:p>
    <w:p w14:paraId="594D554D" w14:textId="251B0DFE" w:rsidR="0010542E" w:rsidRPr="00A6474F" w:rsidRDefault="009E0AC7" w:rsidP="0010542E">
      <w:pPr>
        <w:pStyle w:val="ad"/>
        <w:spacing w:after="60"/>
        <w:jc w:val="center"/>
        <w:rPr>
          <w:rFonts w:ascii="Times New Roman" w:hAnsi="Times New Roman"/>
          <w:b/>
          <w:sz w:val="26"/>
          <w:szCs w:val="26"/>
        </w:rPr>
      </w:pPr>
      <w:r w:rsidRPr="00A6474F">
        <w:rPr>
          <w:rFonts w:ascii="Times New Roman" w:hAnsi="Times New Roman"/>
          <w:b/>
          <w:sz w:val="26"/>
          <w:szCs w:val="26"/>
        </w:rPr>
        <w:lastRenderedPageBreak/>
        <w:t>MISSION</w:t>
      </w:r>
    </w:p>
    <w:p w14:paraId="2261EE52" w14:textId="77777777" w:rsidR="000F17ED" w:rsidRPr="00A6474F" w:rsidRDefault="000F17ED" w:rsidP="00742F91">
      <w:pPr>
        <w:pStyle w:val="ad"/>
        <w:rPr>
          <w:bCs/>
          <w:sz w:val="26"/>
          <w:szCs w:val="26"/>
        </w:rPr>
      </w:pPr>
    </w:p>
    <w:p w14:paraId="06CE3E72" w14:textId="27200C50" w:rsidR="0010542E" w:rsidRPr="0097255B" w:rsidRDefault="009E0AC7" w:rsidP="0010542E">
      <w:pPr>
        <w:pStyle w:val="ad"/>
        <w:ind w:firstLine="708"/>
        <w:jc w:val="both"/>
        <w:rPr>
          <w:rFonts w:ascii="Times New Roman" w:hAnsi="Times New Roman"/>
          <w:bCs/>
          <w:sz w:val="26"/>
          <w:szCs w:val="26"/>
          <w:lang w:val="en-US"/>
        </w:rPr>
      </w:pPr>
      <w:r w:rsidRPr="0097255B">
        <w:rPr>
          <w:rFonts w:ascii="Times New Roman" w:hAnsi="Times New Roman"/>
          <w:bCs/>
          <w:sz w:val="26"/>
          <w:szCs w:val="26"/>
          <w:lang w:val="en-US"/>
        </w:rPr>
        <w:t xml:space="preserve">Formation of the National Accreditation System of the Republic of Belarus as an infrastructure of trust for business, </w:t>
      </w:r>
      <w:proofErr w:type="gramStart"/>
      <w:r w:rsidRPr="0097255B">
        <w:rPr>
          <w:rFonts w:ascii="Times New Roman" w:hAnsi="Times New Roman"/>
          <w:bCs/>
          <w:sz w:val="26"/>
          <w:szCs w:val="26"/>
          <w:lang w:val="en-US"/>
        </w:rPr>
        <w:t>government</w:t>
      </w:r>
      <w:proofErr w:type="gramEnd"/>
      <w:r w:rsidRPr="0097255B">
        <w:rPr>
          <w:rFonts w:ascii="Times New Roman" w:hAnsi="Times New Roman"/>
          <w:bCs/>
          <w:sz w:val="26"/>
          <w:szCs w:val="26"/>
          <w:lang w:val="en-US"/>
        </w:rPr>
        <w:t xml:space="preserve"> and customers. It is expected that such infrastructure would guarantee safety and competitive abilities of products and services and create new values in close cooperation with the system of technical regulation and standardization that ensures the uniformity of </w:t>
      </w:r>
      <w:proofErr w:type="gramStart"/>
      <w:r w:rsidRPr="0097255B">
        <w:rPr>
          <w:rFonts w:ascii="Times New Roman" w:hAnsi="Times New Roman"/>
          <w:bCs/>
          <w:sz w:val="26"/>
          <w:szCs w:val="26"/>
          <w:lang w:val="en-US"/>
        </w:rPr>
        <w:t>measurements.</w:t>
      </w:r>
      <w:r w:rsidR="0010542E" w:rsidRPr="0097255B">
        <w:rPr>
          <w:rFonts w:ascii="Times New Roman" w:hAnsi="Times New Roman"/>
          <w:bCs/>
          <w:sz w:val="26"/>
          <w:szCs w:val="26"/>
          <w:lang w:val="en-US"/>
        </w:rPr>
        <w:t>.</w:t>
      </w:r>
      <w:proofErr w:type="gramEnd"/>
    </w:p>
    <w:p w14:paraId="107593DC" w14:textId="77777777" w:rsidR="000F17ED" w:rsidRPr="0097255B" w:rsidRDefault="000F17ED" w:rsidP="00742F91">
      <w:pPr>
        <w:pStyle w:val="ad"/>
        <w:rPr>
          <w:bCs/>
          <w:sz w:val="26"/>
          <w:szCs w:val="26"/>
          <w:lang w:val="en-US"/>
        </w:rPr>
      </w:pPr>
    </w:p>
    <w:p w14:paraId="313E5C3A" w14:textId="38D25C64" w:rsidR="0010542E" w:rsidRPr="0097255B" w:rsidRDefault="009E0AC7" w:rsidP="0010542E">
      <w:pPr>
        <w:pStyle w:val="ad"/>
        <w:spacing w:before="60" w:after="60"/>
        <w:jc w:val="center"/>
        <w:rPr>
          <w:rFonts w:ascii="Times New Roman" w:hAnsi="Times New Roman"/>
          <w:b/>
          <w:sz w:val="26"/>
          <w:szCs w:val="26"/>
          <w:lang w:val="en-US"/>
        </w:rPr>
      </w:pPr>
      <w:r w:rsidRPr="0097255B">
        <w:rPr>
          <w:rFonts w:ascii="Times New Roman" w:hAnsi="Times New Roman"/>
          <w:b/>
          <w:sz w:val="26"/>
          <w:szCs w:val="26"/>
          <w:lang w:val="en-US"/>
        </w:rPr>
        <w:t>VISION</w:t>
      </w:r>
    </w:p>
    <w:p w14:paraId="27C771EB" w14:textId="77777777" w:rsidR="000F17ED" w:rsidRPr="0097255B" w:rsidRDefault="000F17ED" w:rsidP="00742F91">
      <w:pPr>
        <w:pStyle w:val="ad"/>
        <w:rPr>
          <w:bCs/>
          <w:sz w:val="26"/>
          <w:szCs w:val="26"/>
          <w:lang w:val="en-US"/>
        </w:rPr>
      </w:pPr>
    </w:p>
    <w:p w14:paraId="4064FB7B" w14:textId="4DC12206" w:rsidR="0010542E" w:rsidRPr="0097255B" w:rsidRDefault="009E0AC7" w:rsidP="0010542E">
      <w:pPr>
        <w:pStyle w:val="ad"/>
        <w:spacing w:after="60"/>
        <w:ind w:firstLine="708"/>
        <w:jc w:val="both"/>
        <w:rPr>
          <w:rFonts w:ascii="Times New Roman" w:hAnsi="Times New Roman"/>
          <w:bCs/>
          <w:sz w:val="26"/>
          <w:szCs w:val="26"/>
          <w:lang w:val="en-US"/>
        </w:rPr>
      </w:pPr>
      <w:r w:rsidRPr="0097255B">
        <w:rPr>
          <w:rFonts w:ascii="Times New Roman" w:hAnsi="Times New Roman"/>
          <w:bCs/>
          <w:sz w:val="26"/>
          <w:szCs w:val="26"/>
          <w:lang w:val="en-US"/>
        </w:rPr>
        <w:t>Commitment to achieve universal recognition of BSCA performance through implementation of international accreditation requirements, strict compliance with the national requirements in the field of accreditation, development of a register of qualified assessors and technical assessors, raise of technical competence of conformity assessment bodies and quality of services they provide, thereby increasing confidence in the conformity assessment results and confidence of market in products and services quality</w:t>
      </w:r>
      <w:r w:rsidR="0010542E" w:rsidRPr="0097255B">
        <w:rPr>
          <w:rFonts w:ascii="Times New Roman" w:hAnsi="Times New Roman"/>
          <w:bCs/>
          <w:sz w:val="26"/>
          <w:szCs w:val="26"/>
          <w:lang w:val="en-US"/>
        </w:rPr>
        <w:t>.</w:t>
      </w:r>
    </w:p>
    <w:p w14:paraId="66C552E8" w14:textId="77777777" w:rsidR="000F17ED" w:rsidRPr="0097255B" w:rsidRDefault="000F17ED" w:rsidP="00742F91">
      <w:pPr>
        <w:pStyle w:val="ad"/>
        <w:rPr>
          <w:bCs/>
          <w:sz w:val="26"/>
          <w:szCs w:val="26"/>
          <w:lang w:val="en-US"/>
        </w:rPr>
      </w:pPr>
    </w:p>
    <w:bookmarkEnd w:id="0"/>
    <w:p w14:paraId="7D10726D" w14:textId="1628471E" w:rsidR="00AE6199" w:rsidRPr="0097255B" w:rsidRDefault="009E0AC7" w:rsidP="0010542E">
      <w:pPr>
        <w:pStyle w:val="ad"/>
        <w:spacing w:before="60" w:after="60"/>
        <w:jc w:val="center"/>
        <w:rPr>
          <w:rFonts w:ascii="Times New Roman" w:hAnsi="Times New Roman"/>
          <w:b/>
          <w:sz w:val="26"/>
          <w:szCs w:val="26"/>
          <w:lang w:val="en-US"/>
        </w:rPr>
      </w:pPr>
      <w:r w:rsidRPr="0097255B">
        <w:rPr>
          <w:rFonts w:ascii="Times New Roman" w:hAnsi="Times New Roman"/>
          <w:b/>
          <w:sz w:val="26"/>
          <w:szCs w:val="26"/>
          <w:lang w:val="en-US"/>
        </w:rPr>
        <w:t>QUALITY POLICY</w:t>
      </w:r>
    </w:p>
    <w:p w14:paraId="1F033CFB" w14:textId="77777777" w:rsidR="000F17ED" w:rsidRPr="0097255B" w:rsidRDefault="000F17ED" w:rsidP="00742F91">
      <w:pPr>
        <w:pStyle w:val="ad"/>
        <w:rPr>
          <w:bCs/>
          <w:sz w:val="26"/>
          <w:szCs w:val="26"/>
          <w:lang w:val="en-US"/>
        </w:rPr>
      </w:pPr>
    </w:p>
    <w:p w14:paraId="7B02AA24" w14:textId="6232E1CC" w:rsidR="00AE6199" w:rsidRPr="0097255B" w:rsidRDefault="009E0AC7" w:rsidP="009872C2">
      <w:pPr>
        <w:pStyle w:val="ad"/>
        <w:spacing w:before="60" w:after="60"/>
        <w:ind w:firstLine="709"/>
        <w:jc w:val="both"/>
        <w:rPr>
          <w:rFonts w:ascii="Times New Roman" w:hAnsi="Times New Roman"/>
          <w:bCs/>
          <w:i/>
          <w:sz w:val="26"/>
          <w:szCs w:val="26"/>
          <w:lang w:val="en-US"/>
        </w:rPr>
      </w:pPr>
      <w:r w:rsidRPr="0097255B">
        <w:rPr>
          <w:rFonts w:ascii="Times New Roman" w:hAnsi="Times New Roman"/>
          <w:bCs/>
          <w:i/>
          <w:sz w:val="26"/>
          <w:szCs w:val="26"/>
          <w:lang w:val="en-US"/>
        </w:rPr>
        <w:t xml:space="preserve">BSCA is the sole accreditation body of the Republic of Belarus. BSCA performs the accreditation of CABs in accordance with the legislation of the Republic of Belarus in the field of accreditation </w:t>
      </w:r>
      <w:proofErr w:type="gramStart"/>
      <w:r w:rsidRPr="0097255B">
        <w:rPr>
          <w:rFonts w:ascii="Times New Roman" w:hAnsi="Times New Roman"/>
          <w:bCs/>
          <w:i/>
          <w:sz w:val="26"/>
          <w:szCs w:val="26"/>
          <w:lang w:val="en-US"/>
        </w:rPr>
        <w:t>taking into account</w:t>
      </w:r>
      <w:proofErr w:type="gramEnd"/>
      <w:r w:rsidRPr="0097255B">
        <w:rPr>
          <w:rFonts w:ascii="Times New Roman" w:hAnsi="Times New Roman"/>
          <w:bCs/>
          <w:i/>
          <w:sz w:val="26"/>
          <w:szCs w:val="26"/>
          <w:lang w:val="en-US"/>
        </w:rPr>
        <w:t xml:space="preserve"> the requirements of the international standards and obligatory documents of the international accreditation organizations. In accreditation activity BSCA focuses on the implementation of a unified state and technical policy in the field of accreditation </w:t>
      </w:r>
      <w:proofErr w:type="gramStart"/>
      <w:r w:rsidRPr="0097255B">
        <w:rPr>
          <w:rFonts w:ascii="Times New Roman" w:hAnsi="Times New Roman"/>
          <w:bCs/>
          <w:i/>
          <w:sz w:val="26"/>
          <w:szCs w:val="26"/>
          <w:lang w:val="en-US"/>
        </w:rPr>
        <w:t>in order to</w:t>
      </w:r>
      <w:proofErr w:type="gramEnd"/>
      <w:r w:rsidRPr="0097255B">
        <w:rPr>
          <w:rFonts w:ascii="Times New Roman" w:hAnsi="Times New Roman"/>
          <w:bCs/>
          <w:i/>
          <w:sz w:val="26"/>
          <w:szCs w:val="26"/>
          <w:lang w:val="en-US"/>
        </w:rPr>
        <w:t xml:space="preserve"> improve the economic condition of the Republic of Belarus through eliminating technical barriers to trade and ensuring the competitive abilities of products of domestic manufacturers</w:t>
      </w:r>
      <w:r w:rsidR="00AE6199" w:rsidRPr="0097255B">
        <w:rPr>
          <w:rFonts w:ascii="Times New Roman" w:hAnsi="Times New Roman"/>
          <w:bCs/>
          <w:i/>
          <w:sz w:val="26"/>
          <w:szCs w:val="26"/>
          <w:lang w:val="en-US"/>
        </w:rPr>
        <w:t xml:space="preserve"> </w:t>
      </w:r>
    </w:p>
    <w:p w14:paraId="3DDB36F8" w14:textId="77777777" w:rsidR="009E0AC7" w:rsidRPr="0097255B" w:rsidRDefault="009E0AC7" w:rsidP="009E0AC7">
      <w:pPr>
        <w:pStyle w:val="ad"/>
        <w:spacing w:before="60" w:after="60"/>
        <w:ind w:firstLine="709"/>
        <w:jc w:val="both"/>
        <w:rPr>
          <w:rFonts w:ascii="Times New Roman" w:hAnsi="Times New Roman"/>
          <w:bCs/>
          <w:sz w:val="26"/>
          <w:szCs w:val="26"/>
          <w:lang w:val="en-US"/>
        </w:rPr>
      </w:pPr>
      <w:r w:rsidRPr="0097255B">
        <w:rPr>
          <w:rFonts w:ascii="Times New Roman" w:hAnsi="Times New Roman"/>
          <w:bCs/>
          <w:sz w:val="26"/>
          <w:szCs w:val="26"/>
          <w:lang w:val="en-US"/>
        </w:rPr>
        <w:t>BSCA strategic goals and growth areas are as follows:</w:t>
      </w:r>
    </w:p>
    <w:p w14:paraId="1DD8A289" w14:textId="77777777" w:rsidR="009E0AC7" w:rsidRPr="0097255B" w:rsidRDefault="009E0AC7" w:rsidP="009E0AC7">
      <w:pPr>
        <w:pStyle w:val="ad"/>
        <w:spacing w:before="60" w:after="60"/>
        <w:ind w:firstLine="709"/>
        <w:jc w:val="both"/>
        <w:rPr>
          <w:rFonts w:ascii="Times New Roman" w:hAnsi="Times New Roman"/>
          <w:bCs/>
          <w:sz w:val="26"/>
          <w:szCs w:val="26"/>
          <w:lang w:val="en-US"/>
        </w:rPr>
      </w:pPr>
      <w:r w:rsidRPr="0097255B">
        <w:rPr>
          <w:rFonts w:ascii="Times New Roman" w:hAnsi="Times New Roman"/>
          <w:bCs/>
          <w:sz w:val="26"/>
          <w:szCs w:val="26"/>
          <w:lang w:val="en-US"/>
        </w:rPr>
        <w:t xml:space="preserve">improvement of regulatory legal support for </w:t>
      </w:r>
      <w:proofErr w:type="gramStart"/>
      <w:r w:rsidRPr="0097255B">
        <w:rPr>
          <w:rFonts w:ascii="Times New Roman" w:hAnsi="Times New Roman"/>
          <w:bCs/>
          <w:sz w:val="26"/>
          <w:szCs w:val="26"/>
          <w:lang w:val="en-US"/>
        </w:rPr>
        <w:t>accreditation;</w:t>
      </w:r>
      <w:proofErr w:type="gramEnd"/>
    </w:p>
    <w:p w14:paraId="1AE01E77" w14:textId="77777777" w:rsidR="009E0AC7" w:rsidRPr="0097255B" w:rsidRDefault="009E0AC7" w:rsidP="009E0AC7">
      <w:pPr>
        <w:pStyle w:val="ad"/>
        <w:spacing w:before="60" w:after="60"/>
        <w:ind w:firstLine="709"/>
        <w:jc w:val="both"/>
        <w:rPr>
          <w:rFonts w:ascii="Times New Roman" w:hAnsi="Times New Roman"/>
          <w:bCs/>
          <w:sz w:val="26"/>
          <w:szCs w:val="26"/>
          <w:lang w:val="en-US"/>
        </w:rPr>
      </w:pPr>
      <w:r w:rsidRPr="0097255B">
        <w:rPr>
          <w:rFonts w:ascii="Times New Roman" w:hAnsi="Times New Roman"/>
          <w:bCs/>
          <w:sz w:val="26"/>
          <w:szCs w:val="26"/>
          <w:lang w:val="en-US"/>
        </w:rPr>
        <w:t xml:space="preserve">maintaining international recognition of accreditation and conditions for recognition of conformity assessment results at the international level on the basis of recognition of </w:t>
      </w:r>
      <w:proofErr w:type="gramStart"/>
      <w:r w:rsidRPr="0097255B">
        <w:rPr>
          <w:rFonts w:ascii="Times New Roman" w:hAnsi="Times New Roman"/>
          <w:bCs/>
          <w:sz w:val="26"/>
          <w:szCs w:val="26"/>
          <w:lang w:val="en-US"/>
        </w:rPr>
        <w:t>accreditation;</w:t>
      </w:r>
      <w:proofErr w:type="gramEnd"/>
    </w:p>
    <w:p w14:paraId="22FD73A7" w14:textId="77777777" w:rsidR="009E0AC7" w:rsidRPr="0097255B" w:rsidRDefault="009E0AC7" w:rsidP="009E0AC7">
      <w:pPr>
        <w:pStyle w:val="ad"/>
        <w:spacing w:before="60" w:after="60"/>
        <w:ind w:firstLine="709"/>
        <w:jc w:val="both"/>
        <w:rPr>
          <w:rFonts w:ascii="Times New Roman" w:hAnsi="Times New Roman"/>
          <w:bCs/>
          <w:sz w:val="26"/>
          <w:szCs w:val="26"/>
          <w:lang w:val="en-US"/>
        </w:rPr>
      </w:pPr>
      <w:r w:rsidRPr="0097255B">
        <w:rPr>
          <w:rFonts w:ascii="Times New Roman" w:hAnsi="Times New Roman"/>
          <w:bCs/>
          <w:sz w:val="26"/>
          <w:szCs w:val="26"/>
          <w:lang w:val="en-US"/>
        </w:rPr>
        <w:t xml:space="preserve">development of Eurasian integration in the field of </w:t>
      </w:r>
      <w:proofErr w:type="gramStart"/>
      <w:r w:rsidRPr="0097255B">
        <w:rPr>
          <w:rFonts w:ascii="Times New Roman" w:hAnsi="Times New Roman"/>
          <w:bCs/>
          <w:sz w:val="26"/>
          <w:szCs w:val="26"/>
          <w:lang w:val="en-US"/>
        </w:rPr>
        <w:t>accreditation;</w:t>
      </w:r>
      <w:proofErr w:type="gramEnd"/>
    </w:p>
    <w:p w14:paraId="704A9EE3" w14:textId="77777777" w:rsidR="009E0AC7" w:rsidRPr="0097255B" w:rsidRDefault="009E0AC7" w:rsidP="009E0AC7">
      <w:pPr>
        <w:pStyle w:val="ad"/>
        <w:spacing w:before="60" w:after="60"/>
        <w:ind w:firstLine="709"/>
        <w:jc w:val="both"/>
        <w:rPr>
          <w:rFonts w:ascii="Times New Roman" w:hAnsi="Times New Roman"/>
          <w:bCs/>
          <w:sz w:val="26"/>
          <w:szCs w:val="26"/>
          <w:lang w:val="en-US"/>
        </w:rPr>
      </w:pPr>
      <w:r w:rsidRPr="0097255B">
        <w:rPr>
          <w:rFonts w:ascii="Times New Roman" w:hAnsi="Times New Roman"/>
          <w:bCs/>
          <w:sz w:val="26"/>
          <w:szCs w:val="26"/>
          <w:lang w:val="en-US"/>
        </w:rPr>
        <w:t xml:space="preserve">development of expert community and increasing the competence of participants of the National Accreditation </w:t>
      </w:r>
      <w:proofErr w:type="gramStart"/>
      <w:r w:rsidRPr="0097255B">
        <w:rPr>
          <w:rFonts w:ascii="Times New Roman" w:hAnsi="Times New Roman"/>
          <w:bCs/>
          <w:sz w:val="26"/>
          <w:szCs w:val="26"/>
          <w:lang w:val="en-US"/>
        </w:rPr>
        <w:t>System;</w:t>
      </w:r>
      <w:proofErr w:type="gramEnd"/>
    </w:p>
    <w:p w14:paraId="79BE66C5" w14:textId="77777777" w:rsidR="009E0AC7" w:rsidRPr="0097255B" w:rsidRDefault="009E0AC7" w:rsidP="009E0AC7">
      <w:pPr>
        <w:pStyle w:val="ad"/>
        <w:spacing w:before="60" w:after="60"/>
        <w:ind w:firstLine="709"/>
        <w:jc w:val="both"/>
        <w:rPr>
          <w:rFonts w:ascii="Times New Roman" w:hAnsi="Times New Roman"/>
          <w:bCs/>
          <w:sz w:val="26"/>
          <w:szCs w:val="26"/>
          <w:lang w:val="en-US"/>
        </w:rPr>
      </w:pPr>
      <w:r w:rsidRPr="0097255B">
        <w:rPr>
          <w:rFonts w:ascii="Times New Roman" w:hAnsi="Times New Roman"/>
          <w:bCs/>
          <w:sz w:val="26"/>
          <w:szCs w:val="26"/>
          <w:lang w:val="en-US"/>
        </w:rPr>
        <w:t xml:space="preserve">development, implementation and integration of information systems in the field of </w:t>
      </w:r>
      <w:proofErr w:type="gramStart"/>
      <w:r w:rsidRPr="0097255B">
        <w:rPr>
          <w:rFonts w:ascii="Times New Roman" w:hAnsi="Times New Roman"/>
          <w:bCs/>
          <w:sz w:val="26"/>
          <w:szCs w:val="26"/>
          <w:lang w:val="en-US"/>
        </w:rPr>
        <w:t>accreditation;</w:t>
      </w:r>
      <w:proofErr w:type="gramEnd"/>
    </w:p>
    <w:p w14:paraId="18797A98" w14:textId="77777777" w:rsidR="009E0AC7" w:rsidRPr="0097255B" w:rsidRDefault="009E0AC7" w:rsidP="009E0AC7">
      <w:pPr>
        <w:pStyle w:val="ad"/>
        <w:spacing w:before="60" w:after="60"/>
        <w:ind w:firstLine="709"/>
        <w:jc w:val="both"/>
        <w:rPr>
          <w:rFonts w:ascii="Times New Roman" w:hAnsi="Times New Roman"/>
          <w:bCs/>
          <w:sz w:val="26"/>
          <w:szCs w:val="26"/>
          <w:lang w:val="en-US"/>
        </w:rPr>
      </w:pPr>
      <w:r w:rsidRPr="0097255B">
        <w:rPr>
          <w:rFonts w:ascii="Times New Roman" w:hAnsi="Times New Roman"/>
          <w:bCs/>
          <w:sz w:val="26"/>
          <w:szCs w:val="26"/>
          <w:lang w:val="en-US"/>
        </w:rPr>
        <w:t>increasing the efficiency and effectiveness of accreditation activities.</w:t>
      </w:r>
    </w:p>
    <w:p w14:paraId="116FC3D0" w14:textId="0760E9C5" w:rsidR="00FA116F" w:rsidRPr="0097255B" w:rsidRDefault="009E0AC7" w:rsidP="009E0AC7">
      <w:pPr>
        <w:pStyle w:val="ad"/>
        <w:spacing w:before="60" w:after="60"/>
        <w:ind w:firstLine="709"/>
        <w:jc w:val="both"/>
        <w:rPr>
          <w:rFonts w:ascii="Times New Roman" w:hAnsi="Times New Roman"/>
          <w:bCs/>
          <w:sz w:val="26"/>
          <w:szCs w:val="26"/>
          <w:lang w:val="en-US"/>
        </w:rPr>
      </w:pPr>
      <w:r w:rsidRPr="0097255B">
        <w:rPr>
          <w:rFonts w:ascii="Times New Roman" w:hAnsi="Times New Roman"/>
          <w:bCs/>
          <w:sz w:val="26"/>
          <w:szCs w:val="26"/>
          <w:lang w:val="en-US"/>
        </w:rPr>
        <w:t xml:space="preserve">To achieve BSCA strategic goals and develop growth areas, the key resources are those that ensure the solution of the main tasks, i.e. impartiality and objectivity of accreditation activities, staff competence, </w:t>
      </w:r>
      <w:proofErr w:type="gramStart"/>
      <w:r w:rsidRPr="0097255B">
        <w:rPr>
          <w:rFonts w:ascii="Times New Roman" w:hAnsi="Times New Roman"/>
          <w:bCs/>
          <w:sz w:val="26"/>
          <w:szCs w:val="26"/>
          <w:lang w:val="en-US"/>
        </w:rPr>
        <w:t>teamwork</w:t>
      </w:r>
      <w:proofErr w:type="gramEnd"/>
      <w:r w:rsidRPr="0097255B">
        <w:rPr>
          <w:rFonts w:ascii="Times New Roman" w:hAnsi="Times New Roman"/>
          <w:bCs/>
          <w:sz w:val="26"/>
          <w:szCs w:val="26"/>
          <w:lang w:val="en-US"/>
        </w:rPr>
        <w:t xml:space="preserve"> and technological solutions</w:t>
      </w:r>
      <w:r w:rsidR="00FA116F" w:rsidRPr="0097255B">
        <w:rPr>
          <w:rFonts w:ascii="Times New Roman" w:hAnsi="Times New Roman"/>
          <w:bCs/>
          <w:sz w:val="26"/>
          <w:szCs w:val="26"/>
          <w:lang w:val="en-US"/>
        </w:rPr>
        <w:t>.</w:t>
      </w:r>
    </w:p>
    <w:p w14:paraId="59EF5BC8" w14:textId="77777777" w:rsidR="00A6474F" w:rsidRPr="0097255B" w:rsidRDefault="00A6474F">
      <w:pPr>
        <w:rPr>
          <w:rFonts w:ascii="Times New Roman" w:eastAsia="Calibri" w:hAnsi="Times New Roman" w:cs="Times New Roman"/>
          <w:b/>
          <w:sz w:val="26"/>
          <w:szCs w:val="26"/>
          <w:lang w:val="en-US"/>
        </w:rPr>
      </w:pPr>
      <w:bookmarkStart w:id="1" w:name="_Hlk141356532"/>
      <w:r w:rsidRPr="0097255B">
        <w:rPr>
          <w:rFonts w:ascii="Times New Roman" w:eastAsia="Calibri" w:hAnsi="Times New Roman" w:cs="Times New Roman"/>
          <w:b/>
          <w:sz w:val="26"/>
          <w:szCs w:val="26"/>
          <w:lang w:val="en-US"/>
        </w:rPr>
        <w:br w:type="page"/>
      </w:r>
    </w:p>
    <w:p w14:paraId="713A2095" w14:textId="56E99469"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proofErr w:type="gramStart"/>
      <w:r w:rsidRPr="0097255B">
        <w:rPr>
          <w:rFonts w:ascii="Times New Roman" w:eastAsia="Calibri" w:hAnsi="Times New Roman" w:cs="Times New Roman"/>
          <w:b/>
          <w:color w:val="auto"/>
          <w:sz w:val="26"/>
          <w:szCs w:val="26"/>
          <w:lang w:val="en-US" w:eastAsia="en-US"/>
        </w:rPr>
        <w:lastRenderedPageBreak/>
        <w:t>In the course of</w:t>
      </w:r>
      <w:proofErr w:type="gramEnd"/>
      <w:r w:rsidRPr="0097255B">
        <w:rPr>
          <w:rFonts w:ascii="Times New Roman" w:eastAsia="Calibri" w:hAnsi="Times New Roman" w:cs="Times New Roman"/>
          <w:b/>
          <w:color w:val="auto"/>
          <w:sz w:val="26"/>
          <w:szCs w:val="26"/>
          <w:lang w:val="en-US" w:eastAsia="en-US"/>
        </w:rPr>
        <w:t xml:space="preserve"> accreditation BSCA aims at the following</w:t>
      </w:r>
      <w:r w:rsidRPr="0097255B">
        <w:rPr>
          <w:rFonts w:ascii="Times New Roman" w:eastAsia="Calibri" w:hAnsi="Times New Roman" w:cs="Times New Roman"/>
          <w:bCs/>
          <w:color w:val="auto"/>
          <w:sz w:val="26"/>
          <w:szCs w:val="26"/>
          <w:lang w:val="en-US" w:eastAsia="en-US"/>
        </w:rPr>
        <w:t xml:space="preserve">: </w:t>
      </w:r>
    </w:p>
    <w:p w14:paraId="5E00F501"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to achieve the mission and ensure the long-term development of accreditation in the Republic of Belarus in accordance with the needs of economy, legal requirements, and relevant </w:t>
      </w:r>
      <w:proofErr w:type="gramStart"/>
      <w:r w:rsidRPr="0097255B">
        <w:rPr>
          <w:rFonts w:ascii="Times New Roman" w:eastAsia="Calibri" w:hAnsi="Times New Roman" w:cs="Times New Roman"/>
          <w:bCs/>
          <w:color w:val="auto"/>
          <w:sz w:val="26"/>
          <w:szCs w:val="26"/>
          <w:lang w:val="en-US" w:eastAsia="en-US"/>
        </w:rPr>
        <w:t>standards;</w:t>
      </w:r>
      <w:proofErr w:type="gramEnd"/>
    </w:p>
    <w:p w14:paraId="65C41163"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to ensure sustainable recognition of BSCA abroad on the basis of international agreements and agreements on mutual recognition in those scopes of accreditation where BSCA is a </w:t>
      </w:r>
      <w:proofErr w:type="gramStart"/>
      <w:r w:rsidRPr="0097255B">
        <w:rPr>
          <w:rFonts w:ascii="Times New Roman" w:eastAsia="Calibri" w:hAnsi="Times New Roman" w:cs="Times New Roman"/>
          <w:bCs/>
          <w:color w:val="auto"/>
          <w:sz w:val="26"/>
          <w:szCs w:val="26"/>
          <w:lang w:val="en-US" w:eastAsia="en-US"/>
        </w:rPr>
        <w:t>signatory;</w:t>
      </w:r>
      <w:proofErr w:type="gramEnd"/>
    </w:p>
    <w:p w14:paraId="2DDBDDA1"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to create conditions for compliance with obligations arising from ILAC membership and the status of ILAC MRA </w:t>
      </w:r>
      <w:proofErr w:type="gramStart"/>
      <w:r w:rsidRPr="0097255B">
        <w:rPr>
          <w:rFonts w:ascii="Times New Roman" w:eastAsia="Calibri" w:hAnsi="Times New Roman" w:cs="Times New Roman"/>
          <w:bCs/>
          <w:color w:val="auto"/>
          <w:sz w:val="26"/>
          <w:szCs w:val="26"/>
          <w:lang w:val="en-US" w:eastAsia="en-US"/>
        </w:rPr>
        <w:t>signatory;</w:t>
      </w:r>
      <w:proofErr w:type="gramEnd"/>
    </w:p>
    <w:p w14:paraId="66D23B15"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to recognize the equivalence of the accreditation systems of other ILAC MRA signatories and promote the recognition of conformity assessment documents issued by CABs that are accredited by other ILAC MRA </w:t>
      </w:r>
      <w:proofErr w:type="gramStart"/>
      <w:r w:rsidRPr="0097255B">
        <w:rPr>
          <w:rFonts w:ascii="Times New Roman" w:eastAsia="Calibri" w:hAnsi="Times New Roman" w:cs="Times New Roman"/>
          <w:bCs/>
          <w:color w:val="auto"/>
          <w:sz w:val="26"/>
          <w:szCs w:val="26"/>
          <w:lang w:val="en-US" w:eastAsia="en-US"/>
        </w:rPr>
        <w:t>signatories;</w:t>
      </w:r>
      <w:proofErr w:type="gramEnd"/>
    </w:p>
    <w:p w14:paraId="2A318D6A"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to avoid competition with other accreditation bodies; to expand cooperation with them aimed at the mutual exchange of information and practical experience, consideration of complaints, mutual provision of experts in specific scopes, compliance with the policies and principles of cross-border accreditation </w:t>
      </w:r>
      <w:proofErr w:type="gramStart"/>
      <w:r w:rsidRPr="0097255B">
        <w:rPr>
          <w:rFonts w:ascii="Times New Roman" w:eastAsia="Calibri" w:hAnsi="Times New Roman" w:cs="Times New Roman"/>
          <w:bCs/>
          <w:color w:val="auto"/>
          <w:sz w:val="26"/>
          <w:szCs w:val="26"/>
          <w:lang w:val="en-US" w:eastAsia="en-US"/>
        </w:rPr>
        <w:t>services;</w:t>
      </w:r>
      <w:proofErr w:type="gramEnd"/>
    </w:p>
    <w:p w14:paraId="4A0AEDDB"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to implement strategic directions for the development of Eurasian economic </w:t>
      </w:r>
      <w:proofErr w:type="gramStart"/>
      <w:r w:rsidRPr="0097255B">
        <w:rPr>
          <w:rFonts w:ascii="Times New Roman" w:eastAsia="Calibri" w:hAnsi="Times New Roman" w:cs="Times New Roman"/>
          <w:bCs/>
          <w:color w:val="auto"/>
          <w:sz w:val="26"/>
          <w:szCs w:val="26"/>
          <w:lang w:val="en-US" w:eastAsia="en-US"/>
        </w:rPr>
        <w:t>integration;</w:t>
      </w:r>
      <w:proofErr w:type="gramEnd"/>
    </w:p>
    <w:p w14:paraId="2053B5F0"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to provide accreditation services competently, non-discriminatorily, objectively and impartially at all levels so that end users of conformity assessment services have confidence in the results of the work of CABs accredited by BSCA (Appendix 1 “Senior Management Commitments”</w:t>
      </w:r>
      <w:proofErr w:type="gramStart"/>
      <w:r w:rsidRPr="0097255B">
        <w:rPr>
          <w:rFonts w:ascii="Times New Roman" w:eastAsia="Calibri" w:hAnsi="Times New Roman" w:cs="Times New Roman"/>
          <w:bCs/>
          <w:color w:val="auto"/>
          <w:sz w:val="26"/>
          <w:szCs w:val="26"/>
          <w:lang w:val="en-US" w:eastAsia="en-US"/>
        </w:rPr>
        <w:t>);</w:t>
      </w:r>
      <w:proofErr w:type="gramEnd"/>
    </w:p>
    <w:p w14:paraId="467787B0"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to maintain confidentiality of information received during the accreditation process at all BSCA </w:t>
      </w:r>
      <w:proofErr w:type="gramStart"/>
      <w:r w:rsidRPr="0097255B">
        <w:rPr>
          <w:rFonts w:ascii="Times New Roman" w:eastAsia="Calibri" w:hAnsi="Times New Roman" w:cs="Times New Roman"/>
          <w:bCs/>
          <w:color w:val="auto"/>
          <w:sz w:val="26"/>
          <w:szCs w:val="26"/>
          <w:lang w:val="en-US" w:eastAsia="en-US"/>
        </w:rPr>
        <w:t>levels;</w:t>
      </w:r>
      <w:proofErr w:type="gramEnd"/>
    </w:p>
    <w:p w14:paraId="729D3A0F"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to identify, analyze, evaluate, process, monitor and document risks to impartiality on an ongoing basis, including any conflict of interest arising in BSCA activities, among them external relations and staff </w:t>
      </w:r>
      <w:proofErr w:type="gramStart"/>
      <w:r w:rsidRPr="0097255B">
        <w:rPr>
          <w:rFonts w:ascii="Times New Roman" w:eastAsia="Calibri" w:hAnsi="Times New Roman" w:cs="Times New Roman"/>
          <w:bCs/>
          <w:color w:val="auto"/>
          <w:sz w:val="26"/>
          <w:szCs w:val="26"/>
          <w:lang w:val="en-US" w:eastAsia="en-US"/>
        </w:rPr>
        <w:t>relations;</w:t>
      </w:r>
      <w:proofErr w:type="gramEnd"/>
    </w:p>
    <w:p w14:paraId="14C94A76"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to continuously comply with the requirements of the legislation of the Republic of Belarus in the field of accreditation, comply with the provisions of GOST ISO/IEC 17011-2018 standard, monitor and promptly implement relevant international standards and mandatory documents of international accreditation organizations related to BSCA </w:t>
      </w:r>
      <w:proofErr w:type="gramStart"/>
      <w:r w:rsidRPr="0097255B">
        <w:rPr>
          <w:rFonts w:ascii="Times New Roman" w:eastAsia="Calibri" w:hAnsi="Times New Roman" w:cs="Times New Roman"/>
          <w:bCs/>
          <w:color w:val="auto"/>
          <w:sz w:val="26"/>
          <w:szCs w:val="26"/>
          <w:lang w:val="en-US" w:eastAsia="en-US"/>
        </w:rPr>
        <w:t>activities;</w:t>
      </w:r>
      <w:proofErr w:type="gramEnd"/>
    </w:p>
    <w:p w14:paraId="093A51D5"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to ensure the availability of current accreditation requirements for accredited CABs by posting relevant information on the official BSCA website on the Internet www.bsca.by and BSCA digital platform </w:t>
      </w:r>
      <w:proofErr w:type="gramStart"/>
      <w:r w:rsidRPr="0097255B">
        <w:rPr>
          <w:rFonts w:ascii="Times New Roman" w:eastAsia="Calibri" w:hAnsi="Times New Roman" w:cs="Times New Roman"/>
          <w:bCs/>
          <w:color w:val="auto"/>
          <w:sz w:val="26"/>
          <w:szCs w:val="26"/>
          <w:lang w:val="en-US" w:eastAsia="en-US"/>
        </w:rPr>
        <w:t>Accreditation;</w:t>
      </w:r>
      <w:proofErr w:type="gramEnd"/>
    </w:p>
    <w:p w14:paraId="1D621E5D"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to conduct an analysis of the needs of stakeholders and take its results into account when carrying out accreditation </w:t>
      </w:r>
      <w:proofErr w:type="gramStart"/>
      <w:r w:rsidRPr="0097255B">
        <w:rPr>
          <w:rFonts w:ascii="Times New Roman" w:eastAsia="Calibri" w:hAnsi="Times New Roman" w:cs="Times New Roman"/>
          <w:bCs/>
          <w:color w:val="auto"/>
          <w:sz w:val="26"/>
          <w:szCs w:val="26"/>
          <w:lang w:val="en-US" w:eastAsia="en-US"/>
        </w:rPr>
        <w:t>activities;</w:t>
      </w:r>
      <w:proofErr w:type="gramEnd"/>
      <w:r w:rsidRPr="0097255B">
        <w:rPr>
          <w:rFonts w:ascii="Times New Roman" w:eastAsia="Calibri" w:hAnsi="Times New Roman" w:cs="Times New Roman"/>
          <w:bCs/>
          <w:color w:val="auto"/>
          <w:sz w:val="26"/>
          <w:szCs w:val="26"/>
          <w:lang w:val="en-US" w:eastAsia="en-US"/>
        </w:rPr>
        <w:t xml:space="preserve"> </w:t>
      </w:r>
    </w:p>
    <w:p w14:paraId="5833A249"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not to offer or provide conformity assessment services and consulting on accreditation issues or preparation for CAB </w:t>
      </w:r>
      <w:proofErr w:type="gramStart"/>
      <w:r w:rsidRPr="0097255B">
        <w:rPr>
          <w:rFonts w:ascii="Times New Roman" w:eastAsia="Calibri" w:hAnsi="Times New Roman" w:cs="Times New Roman"/>
          <w:bCs/>
          <w:color w:val="auto"/>
          <w:sz w:val="26"/>
          <w:szCs w:val="26"/>
          <w:lang w:val="en-US" w:eastAsia="en-US"/>
        </w:rPr>
        <w:t>accreditation;</w:t>
      </w:r>
      <w:proofErr w:type="gramEnd"/>
    </w:p>
    <w:p w14:paraId="4FE5B5D1"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not have a share or any financial or managerial interests in </w:t>
      </w:r>
      <w:proofErr w:type="gramStart"/>
      <w:r w:rsidRPr="0097255B">
        <w:rPr>
          <w:rFonts w:ascii="Times New Roman" w:eastAsia="Calibri" w:hAnsi="Times New Roman" w:cs="Times New Roman"/>
          <w:bCs/>
          <w:color w:val="auto"/>
          <w:sz w:val="26"/>
          <w:szCs w:val="26"/>
          <w:lang w:val="en-US" w:eastAsia="en-US"/>
        </w:rPr>
        <w:t>CABs;</w:t>
      </w:r>
      <w:proofErr w:type="gramEnd"/>
    </w:p>
    <w:p w14:paraId="3A7CF0F6"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 xml:space="preserve">maintain and improve BSCA management system, ensure its understanding and application at all BSCA </w:t>
      </w:r>
      <w:proofErr w:type="gramStart"/>
      <w:r w:rsidRPr="0097255B">
        <w:rPr>
          <w:rFonts w:ascii="Times New Roman" w:eastAsia="Calibri" w:hAnsi="Times New Roman" w:cs="Times New Roman"/>
          <w:bCs/>
          <w:color w:val="auto"/>
          <w:sz w:val="26"/>
          <w:szCs w:val="26"/>
          <w:lang w:val="en-US" w:eastAsia="en-US"/>
        </w:rPr>
        <w:t>levels;</w:t>
      </w:r>
      <w:proofErr w:type="gramEnd"/>
    </w:p>
    <w:p w14:paraId="6634E5A1" w14:textId="77777777"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ensure that all BSCA employees understand the significance of the work they perform, are aware of the responsibility for the quality of the work they perform, and comply with the obligations of the Declaration of Assessor.</w:t>
      </w:r>
    </w:p>
    <w:p w14:paraId="6447EAC3" w14:textId="77777777" w:rsidR="0097255B"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tab/>
      </w:r>
    </w:p>
    <w:p w14:paraId="24EC2B03" w14:textId="77777777" w:rsidR="0097255B" w:rsidRPr="0097255B" w:rsidRDefault="0097255B">
      <w:pPr>
        <w:rPr>
          <w:rFonts w:ascii="Times New Roman" w:eastAsia="Calibri" w:hAnsi="Times New Roman" w:cs="Times New Roman"/>
          <w:bCs/>
          <w:sz w:val="26"/>
          <w:szCs w:val="26"/>
          <w:lang w:val="en-US"/>
        </w:rPr>
      </w:pPr>
      <w:r w:rsidRPr="0097255B">
        <w:rPr>
          <w:rFonts w:ascii="Times New Roman" w:eastAsia="Calibri" w:hAnsi="Times New Roman" w:cs="Times New Roman"/>
          <w:bCs/>
          <w:sz w:val="26"/>
          <w:szCs w:val="26"/>
          <w:lang w:val="en-US"/>
        </w:rPr>
        <w:br w:type="page"/>
      </w:r>
    </w:p>
    <w:p w14:paraId="165A50A5" w14:textId="360625FD" w:rsidR="009E0AC7" w:rsidRPr="0097255B" w:rsidRDefault="009E0AC7" w:rsidP="009E0AC7">
      <w:pPr>
        <w:pStyle w:val="Default"/>
        <w:widowControl w:val="0"/>
        <w:ind w:firstLine="709"/>
        <w:jc w:val="both"/>
        <w:rPr>
          <w:rFonts w:ascii="Times New Roman" w:eastAsia="Calibri" w:hAnsi="Times New Roman" w:cs="Times New Roman"/>
          <w:bCs/>
          <w:color w:val="auto"/>
          <w:sz w:val="26"/>
          <w:szCs w:val="26"/>
          <w:lang w:val="en-US" w:eastAsia="en-US"/>
        </w:rPr>
      </w:pPr>
      <w:r w:rsidRPr="0097255B">
        <w:rPr>
          <w:rFonts w:ascii="Times New Roman" w:eastAsia="Calibri" w:hAnsi="Times New Roman" w:cs="Times New Roman"/>
          <w:bCs/>
          <w:color w:val="auto"/>
          <w:sz w:val="26"/>
          <w:szCs w:val="26"/>
          <w:lang w:val="en-US" w:eastAsia="en-US"/>
        </w:rPr>
        <w:lastRenderedPageBreak/>
        <w:t>Senior management undertakes a commitment that BSCA staff implement this Policy. The Quality Manager undertakes to ensure the continuous functioning of the entity management system and the annual development of measurable goals consistent with this Policy.</w:t>
      </w:r>
    </w:p>
    <w:p w14:paraId="240D0010" w14:textId="21D486C9" w:rsidR="001C3C4A" w:rsidRPr="0097255B" w:rsidRDefault="009E0AC7" w:rsidP="009E0AC7">
      <w:pPr>
        <w:pStyle w:val="Default"/>
        <w:widowControl w:val="0"/>
        <w:ind w:firstLine="709"/>
        <w:jc w:val="both"/>
        <w:rPr>
          <w:rFonts w:ascii="Times New Roman" w:hAnsi="Times New Roman" w:cs="Times New Roman"/>
          <w:bCs/>
          <w:color w:val="auto"/>
          <w:sz w:val="26"/>
          <w:szCs w:val="26"/>
          <w:lang w:val="en-US"/>
        </w:rPr>
      </w:pPr>
      <w:r w:rsidRPr="0097255B">
        <w:rPr>
          <w:rFonts w:ascii="Times New Roman" w:eastAsia="Calibri" w:hAnsi="Times New Roman" w:cs="Times New Roman"/>
          <w:bCs/>
          <w:color w:val="auto"/>
          <w:sz w:val="26"/>
          <w:szCs w:val="26"/>
          <w:lang w:val="en-US" w:eastAsia="en-US"/>
        </w:rPr>
        <w:t>The quality policy may be revised based on the results of annual management review</w:t>
      </w:r>
      <w:r w:rsidR="001C3C4A" w:rsidRPr="0097255B">
        <w:rPr>
          <w:rFonts w:ascii="Times New Roman" w:hAnsi="Times New Roman" w:cs="Times New Roman"/>
          <w:bCs/>
          <w:color w:val="auto"/>
          <w:sz w:val="26"/>
          <w:szCs w:val="26"/>
          <w:lang w:val="en-US"/>
        </w:rPr>
        <w:t>.</w:t>
      </w:r>
    </w:p>
    <w:bookmarkEnd w:id="1"/>
    <w:p w14:paraId="21C82953" w14:textId="77777777" w:rsidR="001C3C4A" w:rsidRPr="0097255B" w:rsidRDefault="001C3C4A" w:rsidP="00BF5276">
      <w:pPr>
        <w:pStyle w:val="Default"/>
        <w:widowControl w:val="0"/>
        <w:tabs>
          <w:tab w:val="left" w:pos="6804"/>
        </w:tabs>
        <w:ind w:firstLine="510"/>
        <w:jc w:val="both"/>
        <w:rPr>
          <w:rFonts w:ascii="Times New Roman" w:hAnsi="Times New Roman" w:cs="Times New Roman"/>
          <w:color w:val="auto"/>
          <w:sz w:val="26"/>
          <w:szCs w:val="26"/>
          <w:lang w:val="en-US"/>
        </w:rPr>
      </w:pPr>
    </w:p>
    <w:p w14:paraId="16E621E2" w14:textId="77777777" w:rsidR="005D35E4" w:rsidRPr="0097255B" w:rsidRDefault="005D35E4" w:rsidP="00BF5276">
      <w:pPr>
        <w:pStyle w:val="Default"/>
        <w:widowControl w:val="0"/>
        <w:tabs>
          <w:tab w:val="left" w:pos="6804"/>
        </w:tabs>
        <w:ind w:firstLine="510"/>
        <w:jc w:val="both"/>
        <w:rPr>
          <w:rFonts w:ascii="Times New Roman" w:hAnsi="Times New Roman" w:cs="Times New Roman"/>
          <w:color w:val="auto"/>
          <w:sz w:val="26"/>
          <w:szCs w:val="26"/>
          <w:lang w:val="en-US"/>
        </w:rPr>
      </w:pPr>
    </w:p>
    <w:sectPr w:rsidR="005D35E4" w:rsidRPr="0097255B" w:rsidSect="00F9698E">
      <w:headerReference w:type="default" r:id="rId8"/>
      <w:footerReference w:type="default" r:id="rId9"/>
      <w:headerReference w:type="first" r:id="rId10"/>
      <w:footerReference w:type="first" r:id="rId11"/>
      <w:pgSz w:w="11906" w:h="16838" w:code="9"/>
      <w:pgMar w:top="1134" w:right="567" w:bottom="1134" w:left="1701" w:header="568"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B8A01" w14:textId="77777777" w:rsidR="00B411ED" w:rsidRDefault="00B411ED" w:rsidP="00D25291">
      <w:pPr>
        <w:spacing w:after="0" w:line="240" w:lineRule="auto"/>
      </w:pPr>
      <w:r>
        <w:separator/>
      </w:r>
    </w:p>
  </w:endnote>
  <w:endnote w:type="continuationSeparator" w:id="0">
    <w:p w14:paraId="5F55D47E" w14:textId="77777777" w:rsidR="00B411ED" w:rsidRDefault="00B411ED" w:rsidP="00D2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b"/>
      <w:tblW w:w="0" w:type="auto"/>
      <w:tblBorders>
        <w:left w:val="none" w:sz="0" w:space="0" w:color="auto"/>
        <w:bottom w:val="none" w:sz="0" w:space="0" w:color="auto"/>
        <w:right w:val="none" w:sz="0" w:space="0" w:color="auto"/>
      </w:tblBorders>
      <w:tblLook w:val="04A0" w:firstRow="1" w:lastRow="0" w:firstColumn="1" w:lastColumn="0" w:noHBand="0" w:noVBand="1"/>
    </w:tblPr>
    <w:tblGrid>
      <w:gridCol w:w="4825"/>
      <w:gridCol w:w="4813"/>
    </w:tblGrid>
    <w:tr w:rsidR="00013ADC" w:rsidRPr="00BC1DE6" w14:paraId="0C42E34B" w14:textId="77777777" w:rsidTr="008530F9">
      <w:tc>
        <w:tcPr>
          <w:tcW w:w="4927" w:type="dxa"/>
          <w:tcBorders>
            <w:bottom w:val="nil"/>
            <w:right w:val="nil"/>
          </w:tcBorders>
        </w:tcPr>
        <w:p w14:paraId="18B0EE1D" w14:textId="3DD29A6E" w:rsidR="00013ADC" w:rsidRPr="00BC1DE6" w:rsidRDefault="009E0AC7" w:rsidP="008530F9">
          <w:pPr>
            <w:pStyle w:val="a6"/>
            <w:rPr>
              <w:sz w:val="18"/>
              <w:szCs w:val="18"/>
            </w:rPr>
          </w:pPr>
          <w:r>
            <w:rPr>
              <w:rFonts w:ascii="Times New Roman" w:hAnsi="Times New Roman"/>
              <w:color w:val="000000" w:themeColor="text1"/>
              <w:sz w:val="18"/>
              <w:szCs w:val="18"/>
              <w:lang w:val="en-US"/>
            </w:rPr>
            <w:t>Revision</w:t>
          </w:r>
          <w:r w:rsidR="00013ADC" w:rsidRPr="00994AAC">
            <w:rPr>
              <w:rFonts w:ascii="Times New Roman" w:hAnsi="Times New Roman"/>
              <w:color w:val="000000" w:themeColor="text1"/>
              <w:sz w:val="18"/>
              <w:szCs w:val="18"/>
            </w:rPr>
            <w:t xml:space="preserve"> 0</w:t>
          </w:r>
          <w:r w:rsidR="00201115">
            <w:rPr>
              <w:rFonts w:ascii="Times New Roman" w:hAnsi="Times New Roman"/>
              <w:color w:val="000000" w:themeColor="text1"/>
              <w:sz w:val="18"/>
              <w:szCs w:val="18"/>
            </w:rPr>
            <w:t>8</w:t>
          </w:r>
          <w:r w:rsidR="00013ADC" w:rsidRPr="00994AAC">
            <w:rPr>
              <w:rFonts w:ascii="Times New Roman" w:hAnsi="Times New Roman"/>
              <w:color w:val="000000" w:themeColor="text1"/>
              <w:sz w:val="18"/>
              <w:szCs w:val="18"/>
            </w:rPr>
            <w:t xml:space="preserve"> </w:t>
          </w:r>
          <w:r>
            <w:rPr>
              <w:rFonts w:ascii="Times New Roman" w:hAnsi="Times New Roman"/>
              <w:color w:val="000000" w:themeColor="text1"/>
              <w:sz w:val="18"/>
              <w:szCs w:val="18"/>
              <w:lang w:val="en-US"/>
            </w:rPr>
            <w:t xml:space="preserve">from </w:t>
          </w:r>
          <w:r w:rsidR="00201115">
            <w:rPr>
              <w:rFonts w:ascii="Times New Roman" w:hAnsi="Times New Roman"/>
              <w:color w:val="000000" w:themeColor="text1"/>
              <w:sz w:val="18"/>
              <w:szCs w:val="18"/>
            </w:rPr>
            <w:t>01</w:t>
          </w:r>
          <w:r w:rsidR="0022145E">
            <w:rPr>
              <w:rFonts w:ascii="Times New Roman" w:hAnsi="Times New Roman"/>
              <w:color w:val="000000" w:themeColor="text1"/>
              <w:sz w:val="18"/>
              <w:szCs w:val="18"/>
            </w:rPr>
            <w:t>.</w:t>
          </w:r>
          <w:r w:rsidR="00201115">
            <w:rPr>
              <w:rFonts w:ascii="Times New Roman" w:hAnsi="Times New Roman"/>
              <w:color w:val="000000" w:themeColor="text1"/>
              <w:sz w:val="18"/>
              <w:szCs w:val="18"/>
            </w:rPr>
            <w:t>08.2023</w:t>
          </w:r>
        </w:p>
      </w:tc>
      <w:tc>
        <w:tcPr>
          <w:tcW w:w="4927" w:type="dxa"/>
          <w:tcBorders>
            <w:left w:val="nil"/>
            <w:bottom w:val="nil"/>
          </w:tcBorders>
        </w:tcPr>
        <w:p w14:paraId="56AB7F63" w14:textId="4C834F21" w:rsidR="00013ADC" w:rsidRPr="00BC1DE6" w:rsidRDefault="009E0AC7" w:rsidP="008530F9">
          <w:pPr>
            <w:pStyle w:val="a6"/>
            <w:jc w:val="right"/>
            <w:rPr>
              <w:rFonts w:ascii="Times New Roman" w:hAnsi="Times New Roman"/>
              <w:sz w:val="18"/>
              <w:szCs w:val="18"/>
            </w:rPr>
          </w:pPr>
          <w:r>
            <w:rPr>
              <w:rFonts w:ascii="Times New Roman" w:hAnsi="Times New Roman"/>
              <w:sz w:val="18"/>
              <w:szCs w:val="18"/>
              <w:lang w:val="en-US"/>
            </w:rPr>
            <w:t>page</w:t>
          </w:r>
          <w:r w:rsidR="00013ADC" w:rsidRPr="00BC1DE6">
            <w:rPr>
              <w:rFonts w:ascii="Times New Roman" w:hAnsi="Times New Roman"/>
              <w:sz w:val="18"/>
              <w:szCs w:val="18"/>
            </w:rPr>
            <w:t xml:space="preserve"> </w:t>
          </w:r>
          <w:r w:rsidR="00013ADC" w:rsidRPr="00BC1DE6">
            <w:rPr>
              <w:rFonts w:ascii="Times New Roman" w:hAnsi="Times New Roman"/>
              <w:sz w:val="18"/>
              <w:szCs w:val="18"/>
            </w:rPr>
            <w:fldChar w:fldCharType="begin"/>
          </w:r>
          <w:r w:rsidR="00013ADC" w:rsidRPr="00BC1DE6">
            <w:rPr>
              <w:rFonts w:ascii="Times New Roman" w:hAnsi="Times New Roman"/>
              <w:sz w:val="18"/>
              <w:szCs w:val="18"/>
            </w:rPr>
            <w:instrText xml:space="preserve"> PAGE </w:instrText>
          </w:r>
          <w:r w:rsidR="00013ADC" w:rsidRPr="00BC1DE6">
            <w:rPr>
              <w:rFonts w:ascii="Times New Roman" w:hAnsi="Times New Roman"/>
              <w:sz w:val="18"/>
              <w:szCs w:val="18"/>
            </w:rPr>
            <w:fldChar w:fldCharType="separate"/>
          </w:r>
          <w:r w:rsidR="0037623B">
            <w:rPr>
              <w:rFonts w:ascii="Times New Roman" w:hAnsi="Times New Roman"/>
              <w:noProof/>
              <w:sz w:val="18"/>
              <w:szCs w:val="18"/>
            </w:rPr>
            <w:t>4</w:t>
          </w:r>
          <w:r w:rsidR="00013ADC" w:rsidRPr="00BC1DE6">
            <w:rPr>
              <w:rFonts w:ascii="Times New Roman" w:hAnsi="Times New Roman"/>
              <w:sz w:val="18"/>
              <w:szCs w:val="18"/>
            </w:rPr>
            <w:fldChar w:fldCharType="end"/>
          </w:r>
          <w:r w:rsidR="00013ADC" w:rsidRPr="00BC1DE6">
            <w:rPr>
              <w:rFonts w:ascii="Times New Roman" w:hAnsi="Times New Roman"/>
              <w:sz w:val="18"/>
              <w:szCs w:val="18"/>
            </w:rPr>
            <w:t xml:space="preserve"> </w:t>
          </w:r>
          <w:r>
            <w:rPr>
              <w:rFonts w:ascii="Times New Roman" w:hAnsi="Times New Roman"/>
              <w:sz w:val="18"/>
              <w:szCs w:val="18"/>
              <w:lang w:val="en-US"/>
            </w:rPr>
            <w:t>of</w:t>
          </w:r>
          <w:r w:rsidR="00013ADC" w:rsidRPr="00BC1DE6">
            <w:rPr>
              <w:rFonts w:ascii="Times New Roman" w:hAnsi="Times New Roman"/>
              <w:sz w:val="18"/>
              <w:szCs w:val="18"/>
            </w:rPr>
            <w:t xml:space="preserve"> </w:t>
          </w:r>
          <w:r w:rsidR="00013ADC" w:rsidRPr="00BC1DE6">
            <w:rPr>
              <w:rFonts w:ascii="Times New Roman" w:hAnsi="Times New Roman"/>
              <w:sz w:val="18"/>
              <w:szCs w:val="18"/>
            </w:rPr>
            <w:fldChar w:fldCharType="begin"/>
          </w:r>
          <w:r w:rsidR="00013ADC" w:rsidRPr="00BC1DE6">
            <w:rPr>
              <w:rFonts w:ascii="Times New Roman" w:hAnsi="Times New Roman"/>
              <w:sz w:val="18"/>
              <w:szCs w:val="18"/>
            </w:rPr>
            <w:instrText xml:space="preserve"> NUMPAGES </w:instrText>
          </w:r>
          <w:r w:rsidR="00013ADC" w:rsidRPr="00BC1DE6">
            <w:rPr>
              <w:rFonts w:ascii="Times New Roman" w:hAnsi="Times New Roman"/>
              <w:sz w:val="18"/>
              <w:szCs w:val="18"/>
            </w:rPr>
            <w:fldChar w:fldCharType="separate"/>
          </w:r>
          <w:r w:rsidR="0037623B">
            <w:rPr>
              <w:rFonts w:ascii="Times New Roman" w:hAnsi="Times New Roman"/>
              <w:noProof/>
              <w:sz w:val="18"/>
              <w:szCs w:val="18"/>
            </w:rPr>
            <w:t>4</w:t>
          </w:r>
          <w:r w:rsidR="00013ADC" w:rsidRPr="00BC1DE6">
            <w:rPr>
              <w:rFonts w:ascii="Times New Roman" w:hAnsi="Times New Roman"/>
              <w:sz w:val="18"/>
              <w:szCs w:val="18"/>
            </w:rPr>
            <w:fldChar w:fldCharType="end"/>
          </w:r>
        </w:p>
      </w:tc>
    </w:tr>
  </w:tbl>
  <w:p w14:paraId="7D165E0D" w14:textId="77777777" w:rsidR="00F95DD9" w:rsidRPr="00013ADC" w:rsidRDefault="00F95DD9" w:rsidP="00013ADC">
    <w:pPr>
      <w:pStyle w:val="a6"/>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C0C02" w14:textId="59053215" w:rsidR="00EF0EF6" w:rsidRPr="00E32FFA" w:rsidRDefault="00E32FFA" w:rsidP="00E32FFA">
    <w:pPr>
      <w:pStyle w:val="a6"/>
      <w:jc w:val="center"/>
      <w:rPr>
        <w:rFonts w:ascii="Times New Roman" w:hAnsi="Times New Roman" w:cs="Times New Roman"/>
        <w:b/>
        <w:sz w:val="24"/>
        <w:szCs w:val="24"/>
      </w:rPr>
    </w:pPr>
    <w:r w:rsidRPr="00E00F00">
      <w:rPr>
        <w:rFonts w:ascii="Times New Roman" w:hAnsi="Times New Roman" w:cs="Times New Roman"/>
        <w:b/>
        <w:sz w:val="24"/>
        <w:szCs w:val="24"/>
      </w:rPr>
      <w:t xml:space="preserve">Минск, </w:t>
    </w:r>
    <w:r w:rsidR="00201115" w:rsidRPr="00E00F00">
      <w:rPr>
        <w:rFonts w:ascii="Times New Roman" w:hAnsi="Times New Roman" w:cs="Times New Roman"/>
        <w:b/>
        <w:sz w:val="24"/>
        <w:szCs w:val="24"/>
      </w:rPr>
      <w:t>20</w:t>
    </w:r>
    <w:r w:rsidR="00201115">
      <w:rPr>
        <w:rFonts w:ascii="Times New Roman" w:hAnsi="Times New Roman" w:cs="Times New Roman"/>
        <w:b/>
        <w:sz w:val="24"/>
        <w:szCs w:val="24"/>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EDFD9" w14:textId="77777777" w:rsidR="00B411ED" w:rsidRDefault="00B411ED" w:rsidP="00D25291">
      <w:pPr>
        <w:spacing w:after="0" w:line="240" w:lineRule="auto"/>
      </w:pPr>
      <w:r>
        <w:separator/>
      </w:r>
    </w:p>
  </w:footnote>
  <w:footnote w:type="continuationSeparator" w:id="0">
    <w:p w14:paraId="057B7E32" w14:textId="77777777" w:rsidR="00B411ED" w:rsidRDefault="00B411ED" w:rsidP="00D25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b"/>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8965"/>
    </w:tblGrid>
    <w:tr w:rsidR="00E32FFA" w14:paraId="66752169" w14:textId="77777777" w:rsidTr="00EA33D0">
      <w:tc>
        <w:tcPr>
          <w:tcW w:w="675" w:type="dxa"/>
        </w:tcPr>
        <w:p w14:paraId="56934F80" w14:textId="77777777" w:rsidR="00E32FFA" w:rsidRDefault="00E32FFA" w:rsidP="00F9698E">
          <w:pPr>
            <w:pStyle w:val="a4"/>
            <w:tabs>
              <w:tab w:val="left" w:pos="7797"/>
            </w:tabs>
            <w:spacing w:after="120"/>
            <w:rPr>
              <w:rFonts w:ascii="Times New Roman" w:hAnsi="Times New Roman"/>
              <w:b/>
              <w:sz w:val="24"/>
              <w:szCs w:val="24"/>
            </w:rPr>
          </w:pPr>
          <w:r>
            <w:rPr>
              <w:noProof/>
              <w:sz w:val="2"/>
              <w:szCs w:val="2"/>
            </w:rPr>
            <w:drawing>
              <wp:inline distT="0" distB="0" distL="0" distR="0" wp14:anchorId="720CF886" wp14:editId="76A72D8E">
                <wp:extent cx="253365" cy="3149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 cy="314960"/>
                        </a:xfrm>
                        <a:prstGeom prst="rect">
                          <a:avLst/>
                        </a:prstGeom>
                        <a:noFill/>
                        <a:ln>
                          <a:noFill/>
                        </a:ln>
                      </pic:spPr>
                    </pic:pic>
                  </a:graphicData>
                </a:graphic>
              </wp:inline>
            </w:drawing>
          </w:r>
        </w:p>
      </w:tc>
      <w:tc>
        <w:tcPr>
          <w:tcW w:w="9179" w:type="dxa"/>
          <w:vAlign w:val="bottom"/>
        </w:tcPr>
        <w:p w14:paraId="6C5DD304" w14:textId="7FFDE4B1" w:rsidR="00E32FFA" w:rsidRDefault="009E0AC7" w:rsidP="00E32FFA">
          <w:pPr>
            <w:pStyle w:val="a4"/>
            <w:tabs>
              <w:tab w:val="left" w:pos="7797"/>
            </w:tabs>
            <w:jc w:val="right"/>
            <w:rPr>
              <w:rFonts w:ascii="Times New Roman" w:hAnsi="Times New Roman"/>
              <w:b/>
              <w:sz w:val="24"/>
              <w:szCs w:val="24"/>
            </w:rPr>
          </w:pPr>
          <w:r>
            <w:rPr>
              <w:rFonts w:ascii="Times New Roman" w:hAnsi="Times New Roman"/>
              <w:b/>
              <w:sz w:val="24"/>
              <w:szCs w:val="24"/>
              <w:lang w:val="en-US"/>
            </w:rPr>
            <w:t>PL</w:t>
          </w:r>
          <w:r w:rsidR="00E32FFA" w:rsidRPr="00997A9E">
            <w:rPr>
              <w:rFonts w:ascii="Times New Roman" w:hAnsi="Times New Roman"/>
              <w:b/>
              <w:sz w:val="24"/>
              <w:szCs w:val="24"/>
            </w:rPr>
            <w:t xml:space="preserve"> </w:t>
          </w:r>
          <w:r>
            <w:rPr>
              <w:rFonts w:ascii="Times New Roman" w:hAnsi="Times New Roman"/>
              <w:b/>
              <w:sz w:val="24"/>
              <w:szCs w:val="24"/>
              <w:lang w:val="en-US"/>
            </w:rPr>
            <w:t>S</w:t>
          </w:r>
          <w:r w:rsidR="00E32FFA" w:rsidRPr="00997A9E">
            <w:rPr>
              <w:rFonts w:ascii="Times New Roman" w:hAnsi="Times New Roman"/>
              <w:b/>
              <w:sz w:val="24"/>
              <w:szCs w:val="24"/>
            </w:rPr>
            <w:t>М</w:t>
          </w:r>
          <w:r w:rsidR="00E32FFA">
            <w:rPr>
              <w:rFonts w:ascii="Times New Roman" w:hAnsi="Times New Roman"/>
              <w:b/>
              <w:sz w:val="24"/>
              <w:szCs w:val="24"/>
            </w:rPr>
            <w:t xml:space="preserve"> 9.1</w:t>
          </w:r>
          <w:r w:rsidR="00E32FFA" w:rsidRPr="00997A9E">
            <w:rPr>
              <w:rFonts w:ascii="Times New Roman" w:hAnsi="Times New Roman"/>
              <w:b/>
              <w:sz w:val="24"/>
              <w:szCs w:val="24"/>
            </w:rPr>
            <w:t>-</w:t>
          </w:r>
          <w:r w:rsidR="00201115" w:rsidRPr="00997A9E">
            <w:rPr>
              <w:rFonts w:ascii="Times New Roman" w:hAnsi="Times New Roman"/>
              <w:b/>
              <w:sz w:val="24"/>
              <w:szCs w:val="24"/>
            </w:rPr>
            <w:t>20</w:t>
          </w:r>
          <w:r w:rsidR="00201115">
            <w:rPr>
              <w:rFonts w:ascii="Times New Roman" w:hAnsi="Times New Roman"/>
              <w:b/>
              <w:sz w:val="24"/>
              <w:szCs w:val="24"/>
            </w:rPr>
            <w:t>23</w:t>
          </w:r>
        </w:p>
      </w:tc>
    </w:tr>
  </w:tbl>
  <w:p w14:paraId="368F94C8" w14:textId="77777777" w:rsidR="00E32FFA" w:rsidRDefault="00E32FFA" w:rsidP="00E32FFA">
    <w:pPr>
      <w:pStyle w:val="a4"/>
      <w:tabs>
        <w:tab w:val="left" w:pos="7797"/>
      </w:tabs>
      <w:rPr>
        <w:rFonts w:ascii="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ayout w:type="fixed"/>
      <w:tblLook w:val="04A0" w:firstRow="1" w:lastRow="0" w:firstColumn="1" w:lastColumn="0" w:noHBand="0" w:noVBand="1"/>
    </w:tblPr>
    <w:tblGrid>
      <w:gridCol w:w="851"/>
      <w:gridCol w:w="8788"/>
    </w:tblGrid>
    <w:tr w:rsidR="00291E23" w:rsidRPr="0097255B" w14:paraId="1FC8708C" w14:textId="77777777" w:rsidTr="007F14BE">
      <w:trPr>
        <w:trHeight w:val="711"/>
      </w:trPr>
      <w:tc>
        <w:tcPr>
          <w:tcW w:w="851" w:type="dxa"/>
          <w:tcBorders>
            <w:bottom w:val="threeDEmboss" w:sz="12" w:space="0" w:color="auto"/>
          </w:tcBorders>
          <w:hideMark/>
        </w:tcPr>
        <w:p w14:paraId="058B3650" w14:textId="77777777" w:rsidR="00291E23" w:rsidRPr="00D25091" w:rsidRDefault="00291E23" w:rsidP="00291E23">
          <w:pPr>
            <w:pStyle w:val="af"/>
            <w:keepNext/>
            <w:keepLines/>
            <w:jc w:val="right"/>
            <w:rPr>
              <w:rFonts w:ascii="Times New Roman" w:hAnsi="Times New Roman"/>
              <w:b/>
              <w:sz w:val="24"/>
              <w:szCs w:val="24"/>
            </w:rPr>
          </w:pPr>
          <w:r w:rsidRPr="00D25091">
            <w:rPr>
              <w:rFonts w:ascii="Times New Roman" w:hAnsi="Times New Roman"/>
              <w:b/>
              <w:noProof/>
              <w:sz w:val="24"/>
              <w:szCs w:val="24"/>
              <w:lang w:eastAsia="ru-RU"/>
            </w:rPr>
            <w:drawing>
              <wp:inline distT="0" distB="0" distL="0" distR="0" wp14:anchorId="068B8A9D" wp14:editId="32515D69">
                <wp:extent cx="405765" cy="5137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 cy="513715"/>
                        </a:xfrm>
                        <a:prstGeom prst="rect">
                          <a:avLst/>
                        </a:prstGeom>
                        <a:noFill/>
                        <a:ln>
                          <a:noFill/>
                        </a:ln>
                      </pic:spPr>
                    </pic:pic>
                  </a:graphicData>
                </a:graphic>
              </wp:inline>
            </w:drawing>
          </w:r>
        </w:p>
      </w:tc>
      <w:tc>
        <w:tcPr>
          <w:tcW w:w="8788" w:type="dxa"/>
          <w:tcBorders>
            <w:bottom w:val="threeDEmboss" w:sz="12" w:space="0" w:color="auto"/>
          </w:tcBorders>
          <w:vAlign w:val="center"/>
        </w:tcPr>
        <w:p w14:paraId="48AF3FED" w14:textId="625F7C63" w:rsidR="00291E23" w:rsidRPr="0097255B" w:rsidRDefault="009E0AC7" w:rsidP="00291E23">
          <w:pPr>
            <w:pStyle w:val="af"/>
            <w:keepNext/>
            <w:keepLines/>
            <w:jc w:val="center"/>
            <w:rPr>
              <w:rFonts w:ascii="Times New Roman" w:hAnsi="Times New Roman"/>
              <w:b/>
              <w:sz w:val="24"/>
              <w:szCs w:val="24"/>
              <w:lang w:val="en-US"/>
            </w:rPr>
          </w:pPr>
          <w:r w:rsidRPr="0097255B">
            <w:rPr>
              <w:rFonts w:ascii="Times New Roman" w:hAnsi="Times New Roman"/>
              <w:b/>
              <w:sz w:val="24"/>
              <w:szCs w:val="24"/>
              <w:lang w:val="en-US"/>
            </w:rPr>
            <w:t>REPUBLICAN UNITARY ENTERPRISE</w:t>
          </w:r>
        </w:p>
        <w:p w14:paraId="06344F07" w14:textId="4AE3DA45" w:rsidR="00291E23" w:rsidRPr="0097255B" w:rsidRDefault="00291E23" w:rsidP="00291E23">
          <w:pPr>
            <w:pStyle w:val="af"/>
            <w:keepNext/>
            <w:keepLines/>
            <w:jc w:val="center"/>
            <w:rPr>
              <w:rFonts w:ascii="Times New Roman" w:hAnsi="Times New Roman"/>
              <w:b/>
              <w:sz w:val="24"/>
              <w:szCs w:val="24"/>
              <w:lang w:val="en-US"/>
            </w:rPr>
          </w:pPr>
          <w:r w:rsidRPr="0097255B">
            <w:rPr>
              <w:rFonts w:ascii="Times New Roman" w:hAnsi="Times New Roman"/>
              <w:b/>
              <w:sz w:val="24"/>
              <w:szCs w:val="24"/>
              <w:lang w:val="en-US"/>
            </w:rPr>
            <w:t>«</w:t>
          </w:r>
          <w:r w:rsidR="009E0AC7" w:rsidRPr="0097255B">
            <w:rPr>
              <w:rFonts w:ascii="Times New Roman" w:hAnsi="Times New Roman"/>
              <w:b/>
              <w:sz w:val="24"/>
              <w:szCs w:val="24"/>
              <w:lang w:val="en-US"/>
            </w:rPr>
            <w:t xml:space="preserve">BELARUSIAN STATE CENTER </w:t>
          </w:r>
          <w:r w:rsidR="009E0AC7">
            <w:rPr>
              <w:rFonts w:ascii="Times New Roman" w:hAnsi="Times New Roman"/>
              <w:b/>
              <w:sz w:val="24"/>
              <w:szCs w:val="24"/>
              <w:lang w:val="en-US"/>
            </w:rPr>
            <w:t>FOR</w:t>
          </w:r>
          <w:r w:rsidR="009E0AC7" w:rsidRPr="0097255B">
            <w:rPr>
              <w:rFonts w:ascii="Times New Roman" w:hAnsi="Times New Roman"/>
              <w:b/>
              <w:sz w:val="24"/>
              <w:szCs w:val="24"/>
              <w:lang w:val="en-US"/>
            </w:rPr>
            <w:t xml:space="preserve"> ACCREDITATION</w:t>
          </w:r>
          <w:r w:rsidRPr="0097255B">
            <w:rPr>
              <w:rFonts w:ascii="Times New Roman" w:hAnsi="Times New Roman"/>
              <w:b/>
              <w:sz w:val="24"/>
              <w:szCs w:val="24"/>
              <w:lang w:val="en-US"/>
            </w:rPr>
            <w:t>»</w:t>
          </w:r>
        </w:p>
      </w:tc>
    </w:tr>
  </w:tbl>
  <w:p w14:paraId="67927CC1" w14:textId="77777777" w:rsidR="00D76BD2" w:rsidRPr="0097255B" w:rsidRDefault="00D76BD2" w:rsidP="00291E23">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61FB"/>
    <w:multiLevelType w:val="hybridMultilevel"/>
    <w:tmpl w:val="3C78227C"/>
    <w:lvl w:ilvl="0" w:tplc="195A12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6F85E19"/>
    <w:multiLevelType w:val="hybridMultilevel"/>
    <w:tmpl w:val="147C4536"/>
    <w:lvl w:ilvl="0" w:tplc="5672DE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6ED69ED"/>
    <w:multiLevelType w:val="hybridMultilevel"/>
    <w:tmpl w:val="0322771C"/>
    <w:lvl w:ilvl="0" w:tplc="5672DE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B7379AA"/>
    <w:multiLevelType w:val="hybridMultilevel"/>
    <w:tmpl w:val="433CCDBA"/>
    <w:lvl w:ilvl="0" w:tplc="D42AC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2D6DE1"/>
    <w:multiLevelType w:val="hybridMultilevel"/>
    <w:tmpl w:val="E36C22D2"/>
    <w:lvl w:ilvl="0" w:tplc="5EA67F02">
      <w:start w:val="1"/>
      <w:numFmt w:val="decimal"/>
      <w:lvlText w:val="%1."/>
      <w:lvlJc w:val="left"/>
      <w:pPr>
        <w:ind w:left="928"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D75CF3"/>
    <w:multiLevelType w:val="hybridMultilevel"/>
    <w:tmpl w:val="629A0F10"/>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A23E93"/>
    <w:multiLevelType w:val="hybridMultilevel"/>
    <w:tmpl w:val="D0828DD6"/>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2446DC"/>
    <w:multiLevelType w:val="hybridMultilevel"/>
    <w:tmpl w:val="73307904"/>
    <w:lvl w:ilvl="0" w:tplc="195A12CC">
      <w:start w:val="1"/>
      <w:numFmt w:val="bullet"/>
      <w:lvlText w:val=""/>
      <w:lvlJc w:val="left"/>
      <w:pPr>
        <w:ind w:left="1070" w:hanging="360"/>
      </w:pPr>
      <w:rPr>
        <w:rFonts w:ascii="Symbol" w:hAnsi="Symbol" w:hint="default"/>
        <w:lang w:val="cs-CZ"/>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639650585">
    <w:abstractNumId w:val="7"/>
  </w:num>
  <w:num w:numId="2" w16cid:durableId="74475247">
    <w:abstractNumId w:val="4"/>
  </w:num>
  <w:num w:numId="3" w16cid:durableId="1443114705">
    <w:abstractNumId w:val="3"/>
  </w:num>
  <w:num w:numId="4" w16cid:durableId="902522254">
    <w:abstractNumId w:val="0"/>
  </w:num>
  <w:num w:numId="5" w16cid:durableId="783159532">
    <w:abstractNumId w:val="6"/>
  </w:num>
  <w:num w:numId="6" w16cid:durableId="318076131">
    <w:abstractNumId w:val="5"/>
  </w:num>
  <w:num w:numId="7" w16cid:durableId="1974482505">
    <w:abstractNumId w:val="2"/>
  </w:num>
  <w:num w:numId="8" w16cid:durableId="1518928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99"/>
    <w:rsid w:val="000000F8"/>
    <w:rsid w:val="00000389"/>
    <w:rsid w:val="0000056C"/>
    <w:rsid w:val="00001F9E"/>
    <w:rsid w:val="0001367C"/>
    <w:rsid w:val="00013ADC"/>
    <w:rsid w:val="00013DBC"/>
    <w:rsid w:val="00016193"/>
    <w:rsid w:val="00060E2B"/>
    <w:rsid w:val="000618CB"/>
    <w:rsid w:val="0006532B"/>
    <w:rsid w:val="00074136"/>
    <w:rsid w:val="00077FE2"/>
    <w:rsid w:val="00084EBE"/>
    <w:rsid w:val="00096F9C"/>
    <w:rsid w:val="000B5701"/>
    <w:rsid w:val="000C1018"/>
    <w:rsid w:val="000D7B05"/>
    <w:rsid w:val="000F17ED"/>
    <w:rsid w:val="000F2F81"/>
    <w:rsid w:val="0010542E"/>
    <w:rsid w:val="001056F8"/>
    <w:rsid w:val="00112D3F"/>
    <w:rsid w:val="00113CBA"/>
    <w:rsid w:val="001222A2"/>
    <w:rsid w:val="00123FFD"/>
    <w:rsid w:val="001262D1"/>
    <w:rsid w:val="0012667A"/>
    <w:rsid w:val="00126953"/>
    <w:rsid w:val="00135628"/>
    <w:rsid w:val="001451C1"/>
    <w:rsid w:val="001619FF"/>
    <w:rsid w:val="00174133"/>
    <w:rsid w:val="001930A2"/>
    <w:rsid w:val="0019447E"/>
    <w:rsid w:val="00196F40"/>
    <w:rsid w:val="001A7D5F"/>
    <w:rsid w:val="001A7E9F"/>
    <w:rsid w:val="001C0314"/>
    <w:rsid w:val="001C3293"/>
    <w:rsid w:val="001C3C4A"/>
    <w:rsid w:val="001D1CDD"/>
    <w:rsid w:val="001D2164"/>
    <w:rsid w:val="001D6C1F"/>
    <w:rsid w:val="001E0581"/>
    <w:rsid w:val="001F392E"/>
    <w:rsid w:val="001F4D40"/>
    <w:rsid w:val="00200563"/>
    <w:rsid w:val="00201115"/>
    <w:rsid w:val="00201501"/>
    <w:rsid w:val="00217EB3"/>
    <w:rsid w:val="0022145E"/>
    <w:rsid w:val="0023180F"/>
    <w:rsid w:val="00231BC1"/>
    <w:rsid w:val="002423A1"/>
    <w:rsid w:val="00247616"/>
    <w:rsid w:val="00275437"/>
    <w:rsid w:val="00281660"/>
    <w:rsid w:val="00283E05"/>
    <w:rsid w:val="00291E23"/>
    <w:rsid w:val="002948E6"/>
    <w:rsid w:val="002B25C8"/>
    <w:rsid w:val="002B7A48"/>
    <w:rsid w:val="002C06F6"/>
    <w:rsid w:val="002C1988"/>
    <w:rsid w:val="002C3AED"/>
    <w:rsid w:val="002D5E8E"/>
    <w:rsid w:val="002F323E"/>
    <w:rsid w:val="002F5573"/>
    <w:rsid w:val="00303DE7"/>
    <w:rsid w:val="00304B4D"/>
    <w:rsid w:val="003062AC"/>
    <w:rsid w:val="0030792E"/>
    <w:rsid w:val="003269E1"/>
    <w:rsid w:val="00333626"/>
    <w:rsid w:val="00337DF1"/>
    <w:rsid w:val="00344D28"/>
    <w:rsid w:val="0035264C"/>
    <w:rsid w:val="00354C1A"/>
    <w:rsid w:val="0035782A"/>
    <w:rsid w:val="00375C29"/>
    <w:rsid w:val="0037623B"/>
    <w:rsid w:val="00381B20"/>
    <w:rsid w:val="003A127D"/>
    <w:rsid w:val="003A62F0"/>
    <w:rsid w:val="003A6A95"/>
    <w:rsid w:val="003B2DF0"/>
    <w:rsid w:val="003B3090"/>
    <w:rsid w:val="003B5A86"/>
    <w:rsid w:val="003C2564"/>
    <w:rsid w:val="003D1385"/>
    <w:rsid w:val="003E17EB"/>
    <w:rsid w:val="004002AB"/>
    <w:rsid w:val="00415DBE"/>
    <w:rsid w:val="004179A7"/>
    <w:rsid w:val="004204AC"/>
    <w:rsid w:val="00425EBF"/>
    <w:rsid w:val="00426778"/>
    <w:rsid w:val="004311A9"/>
    <w:rsid w:val="00440AE1"/>
    <w:rsid w:val="00456E9A"/>
    <w:rsid w:val="00477D33"/>
    <w:rsid w:val="0048240E"/>
    <w:rsid w:val="0048303A"/>
    <w:rsid w:val="00487CE7"/>
    <w:rsid w:val="00496E35"/>
    <w:rsid w:val="00497BE5"/>
    <w:rsid w:val="004A4942"/>
    <w:rsid w:val="004A5264"/>
    <w:rsid w:val="004A5D3C"/>
    <w:rsid w:val="004B587F"/>
    <w:rsid w:val="004B6514"/>
    <w:rsid w:val="004C2CE7"/>
    <w:rsid w:val="004D106D"/>
    <w:rsid w:val="004D1A30"/>
    <w:rsid w:val="004D5597"/>
    <w:rsid w:val="004F3BEC"/>
    <w:rsid w:val="00500453"/>
    <w:rsid w:val="00510199"/>
    <w:rsid w:val="00516D0F"/>
    <w:rsid w:val="005233E6"/>
    <w:rsid w:val="00530CCD"/>
    <w:rsid w:val="00536A80"/>
    <w:rsid w:val="00560A2B"/>
    <w:rsid w:val="00563DC3"/>
    <w:rsid w:val="0058537D"/>
    <w:rsid w:val="00595520"/>
    <w:rsid w:val="005A0699"/>
    <w:rsid w:val="005A1D66"/>
    <w:rsid w:val="005B5A91"/>
    <w:rsid w:val="005C40A7"/>
    <w:rsid w:val="005C4C9F"/>
    <w:rsid w:val="005C68D7"/>
    <w:rsid w:val="005D35E4"/>
    <w:rsid w:val="005D7D43"/>
    <w:rsid w:val="005F3BED"/>
    <w:rsid w:val="006074C3"/>
    <w:rsid w:val="00610F2B"/>
    <w:rsid w:val="00625B62"/>
    <w:rsid w:val="00632FB1"/>
    <w:rsid w:val="00645441"/>
    <w:rsid w:val="006501BB"/>
    <w:rsid w:val="00665243"/>
    <w:rsid w:val="0068682E"/>
    <w:rsid w:val="00695434"/>
    <w:rsid w:val="006B352B"/>
    <w:rsid w:val="006D611E"/>
    <w:rsid w:val="006E3F08"/>
    <w:rsid w:val="006E45AD"/>
    <w:rsid w:val="007035D1"/>
    <w:rsid w:val="00721306"/>
    <w:rsid w:val="00721576"/>
    <w:rsid w:val="00725338"/>
    <w:rsid w:val="00732018"/>
    <w:rsid w:val="00742F91"/>
    <w:rsid w:val="00752A57"/>
    <w:rsid w:val="00753DEE"/>
    <w:rsid w:val="0077576C"/>
    <w:rsid w:val="00792AFF"/>
    <w:rsid w:val="007938D1"/>
    <w:rsid w:val="007955D3"/>
    <w:rsid w:val="007B0122"/>
    <w:rsid w:val="007C0313"/>
    <w:rsid w:val="007D0F47"/>
    <w:rsid w:val="007D448E"/>
    <w:rsid w:val="007D49CD"/>
    <w:rsid w:val="007D772F"/>
    <w:rsid w:val="007E2928"/>
    <w:rsid w:val="007E2C85"/>
    <w:rsid w:val="007E4337"/>
    <w:rsid w:val="00800F41"/>
    <w:rsid w:val="008013B8"/>
    <w:rsid w:val="008023EF"/>
    <w:rsid w:val="008039D8"/>
    <w:rsid w:val="00827A8A"/>
    <w:rsid w:val="00830235"/>
    <w:rsid w:val="00830B6B"/>
    <w:rsid w:val="0083417A"/>
    <w:rsid w:val="0083500D"/>
    <w:rsid w:val="00841C6A"/>
    <w:rsid w:val="00852BA8"/>
    <w:rsid w:val="008659BA"/>
    <w:rsid w:val="008732AA"/>
    <w:rsid w:val="008741DE"/>
    <w:rsid w:val="008763E5"/>
    <w:rsid w:val="00880FCB"/>
    <w:rsid w:val="008839BD"/>
    <w:rsid w:val="00884574"/>
    <w:rsid w:val="008922BD"/>
    <w:rsid w:val="00892CC2"/>
    <w:rsid w:val="008950ED"/>
    <w:rsid w:val="008973AE"/>
    <w:rsid w:val="008A2599"/>
    <w:rsid w:val="008B737E"/>
    <w:rsid w:val="008B76DF"/>
    <w:rsid w:val="008D3F16"/>
    <w:rsid w:val="008D7A17"/>
    <w:rsid w:val="008E1EBA"/>
    <w:rsid w:val="008E29F9"/>
    <w:rsid w:val="0091415C"/>
    <w:rsid w:val="00916963"/>
    <w:rsid w:val="0092075F"/>
    <w:rsid w:val="00930FE6"/>
    <w:rsid w:val="00961477"/>
    <w:rsid w:val="0097255B"/>
    <w:rsid w:val="00975767"/>
    <w:rsid w:val="009872C2"/>
    <w:rsid w:val="00994C0F"/>
    <w:rsid w:val="00997A9E"/>
    <w:rsid w:val="009B448B"/>
    <w:rsid w:val="009B7EEB"/>
    <w:rsid w:val="009C4AE7"/>
    <w:rsid w:val="009C5618"/>
    <w:rsid w:val="009D7DA4"/>
    <w:rsid w:val="009E0AC7"/>
    <w:rsid w:val="009F0B93"/>
    <w:rsid w:val="009F6366"/>
    <w:rsid w:val="00A001C8"/>
    <w:rsid w:val="00A0247B"/>
    <w:rsid w:val="00A064A7"/>
    <w:rsid w:val="00A13F7A"/>
    <w:rsid w:val="00A2477E"/>
    <w:rsid w:val="00A338CB"/>
    <w:rsid w:val="00A34375"/>
    <w:rsid w:val="00A44FE1"/>
    <w:rsid w:val="00A45753"/>
    <w:rsid w:val="00A47611"/>
    <w:rsid w:val="00A534B0"/>
    <w:rsid w:val="00A64131"/>
    <w:rsid w:val="00A6474F"/>
    <w:rsid w:val="00A837EF"/>
    <w:rsid w:val="00A8411A"/>
    <w:rsid w:val="00A84219"/>
    <w:rsid w:val="00A8578C"/>
    <w:rsid w:val="00A85A43"/>
    <w:rsid w:val="00A91E66"/>
    <w:rsid w:val="00AD4B82"/>
    <w:rsid w:val="00AD519F"/>
    <w:rsid w:val="00AD6240"/>
    <w:rsid w:val="00AE1CA9"/>
    <w:rsid w:val="00AE6071"/>
    <w:rsid w:val="00AE6199"/>
    <w:rsid w:val="00AF541F"/>
    <w:rsid w:val="00B0562F"/>
    <w:rsid w:val="00B16E08"/>
    <w:rsid w:val="00B24142"/>
    <w:rsid w:val="00B411ED"/>
    <w:rsid w:val="00B4365A"/>
    <w:rsid w:val="00B52B25"/>
    <w:rsid w:val="00B6075A"/>
    <w:rsid w:val="00B62826"/>
    <w:rsid w:val="00B841D7"/>
    <w:rsid w:val="00B93140"/>
    <w:rsid w:val="00BA34A7"/>
    <w:rsid w:val="00BB0264"/>
    <w:rsid w:val="00BB1605"/>
    <w:rsid w:val="00BB2736"/>
    <w:rsid w:val="00BD6502"/>
    <w:rsid w:val="00BE1438"/>
    <w:rsid w:val="00BE5133"/>
    <w:rsid w:val="00BF2507"/>
    <w:rsid w:val="00BF2895"/>
    <w:rsid w:val="00BF5276"/>
    <w:rsid w:val="00C0282D"/>
    <w:rsid w:val="00C11C60"/>
    <w:rsid w:val="00C11CFA"/>
    <w:rsid w:val="00C24989"/>
    <w:rsid w:val="00C30407"/>
    <w:rsid w:val="00C42B64"/>
    <w:rsid w:val="00C4773A"/>
    <w:rsid w:val="00C51CB8"/>
    <w:rsid w:val="00C76FC1"/>
    <w:rsid w:val="00CB52ED"/>
    <w:rsid w:val="00CC1893"/>
    <w:rsid w:val="00CD5C89"/>
    <w:rsid w:val="00CE07AB"/>
    <w:rsid w:val="00CE0E6D"/>
    <w:rsid w:val="00CF41DB"/>
    <w:rsid w:val="00CF452F"/>
    <w:rsid w:val="00D01185"/>
    <w:rsid w:val="00D024B3"/>
    <w:rsid w:val="00D05C88"/>
    <w:rsid w:val="00D13596"/>
    <w:rsid w:val="00D14B55"/>
    <w:rsid w:val="00D25291"/>
    <w:rsid w:val="00D53A40"/>
    <w:rsid w:val="00D70A7A"/>
    <w:rsid w:val="00D76BD2"/>
    <w:rsid w:val="00D825C9"/>
    <w:rsid w:val="00D92270"/>
    <w:rsid w:val="00D93C3A"/>
    <w:rsid w:val="00DA35D6"/>
    <w:rsid w:val="00DA3E18"/>
    <w:rsid w:val="00DB099C"/>
    <w:rsid w:val="00DB7996"/>
    <w:rsid w:val="00DC3E32"/>
    <w:rsid w:val="00DD1B92"/>
    <w:rsid w:val="00DD3424"/>
    <w:rsid w:val="00DE5EEB"/>
    <w:rsid w:val="00DE64D5"/>
    <w:rsid w:val="00DF0D88"/>
    <w:rsid w:val="00E017F7"/>
    <w:rsid w:val="00E05361"/>
    <w:rsid w:val="00E133BF"/>
    <w:rsid w:val="00E32526"/>
    <w:rsid w:val="00E32FFA"/>
    <w:rsid w:val="00E45C16"/>
    <w:rsid w:val="00E524BA"/>
    <w:rsid w:val="00E65352"/>
    <w:rsid w:val="00E752E3"/>
    <w:rsid w:val="00E82EB7"/>
    <w:rsid w:val="00E94703"/>
    <w:rsid w:val="00E9520B"/>
    <w:rsid w:val="00EA5232"/>
    <w:rsid w:val="00EB102F"/>
    <w:rsid w:val="00EC12A0"/>
    <w:rsid w:val="00EC67C8"/>
    <w:rsid w:val="00EC7B88"/>
    <w:rsid w:val="00ED2DAA"/>
    <w:rsid w:val="00ED7E01"/>
    <w:rsid w:val="00EE5D47"/>
    <w:rsid w:val="00EF0EF6"/>
    <w:rsid w:val="00EF4578"/>
    <w:rsid w:val="00EF7310"/>
    <w:rsid w:val="00F07AEA"/>
    <w:rsid w:val="00F24ED7"/>
    <w:rsid w:val="00F25486"/>
    <w:rsid w:val="00F639DA"/>
    <w:rsid w:val="00F66FDA"/>
    <w:rsid w:val="00F93783"/>
    <w:rsid w:val="00F95DD9"/>
    <w:rsid w:val="00F9698E"/>
    <w:rsid w:val="00FA116F"/>
    <w:rsid w:val="00FA2DBB"/>
    <w:rsid w:val="00FA4AAA"/>
    <w:rsid w:val="00FC70C7"/>
    <w:rsid w:val="00FC72F3"/>
    <w:rsid w:val="00FD0EA6"/>
    <w:rsid w:val="00FD2989"/>
    <w:rsid w:val="00FD7AC0"/>
    <w:rsid w:val="00FF2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CDD6B"/>
  <w15:docId w15:val="{BA042197-B606-45B9-84B3-89C331BA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96F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ãëàâëÌÝÊ"/>
    <w:basedOn w:val="a"/>
    <w:rsid w:val="00AE6199"/>
    <w:pPr>
      <w:tabs>
        <w:tab w:val="left" w:pos="9639"/>
      </w:tabs>
      <w:spacing w:after="0" w:line="360" w:lineRule="auto"/>
      <w:jc w:val="both"/>
    </w:pPr>
    <w:rPr>
      <w:rFonts w:ascii="Times New Roman" w:eastAsia="Times New Roman" w:hAnsi="Times New Roman" w:cs="Times New Roman"/>
      <w:noProof/>
      <w:spacing w:val="20"/>
      <w:sz w:val="28"/>
      <w:szCs w:val="20"/>
      <w:lang w:eastAsia="ru-RU"/>
    </w:rPr>
  </w:style>
  <w:style w:type="paragraph" w:customStyle="1" w:styleId="Default">
    <w:name w:val="Default"/>
    <w:rsid w:val="00AE619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header"/>
    <w:basedOn w:val="a"/>
    <w:link w:val="a5"/>
    <w:uiPriority w:val="99"/>
    <w:unhideWhenUsed/>
    <w:rsid w:val="00D25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5291"/>
  </w:style>
  <w:style w:type="paragraph" w:styleId="a6">
    <w:name w:val="footer"/>
    <w:basedOn w:val="a"/>
    <w:link w:val="a7"/>
    <w:uiPriority w:val="99"/>
    <w:unhideWhenUsed/>
    <w:rsid w:val="00D252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5291"/>
  </w:style>
  <w:style w:type="paragraph" w:styleId="a8">
    <w:name w:val="Balloon Text"/>
    <w:basedOn w:val="a"/>
    <w:link w:val="a9"/>
    <w:uiPriority w:val="99"/>
    <w:semiHidden/>
    <w:unhideWhenUsed/>
    <w:rsid w:val="00D252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5291"/>
    <w:rPr>
      <w:rFonts w:ascii="Tahoma" w:hAnsi="Tahoma" w:cs="Tahoma"/>
      <w:sz w:val="16"/>
      <w:szCs w:val="16"/>
    </w:rPr>
  </w:style>
  <w:style w:type="character" w:styleId="aa">
    <w:name w:val="Hyperlink"/>
    <w:basedOn w:val="a0"/>
    <w:uiPriority w:val="99"/>
    <w:unhideWhenUsed/>
    <w:rsid w:val="00BE1438"/>
    <w:rPr>
      <w:color w:val="0000FF" w:themeColor="hyperlink"/>
      <w:u w:val="single"/>
    </w:rPr>
  </w:style>
  <w:style w:type="table" w:styleId="ab">
    <w:name w:val="Table Grid"/>
    <w:basedOn w:val="a1"/>
    <w:uiPriority w:val="39"/>
    <w:rsid w:val="00D76B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1C3C4A"/>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
    <w:uiPriority w:val="34"/>
    <w:qFormat/>
    <w:rsid w:val="001C3C4A"/>
    <w:pPr>
      <w:ind w:left="720"/>
      <w:contextualSpacing/>
    </w:pPr>
  </w:style>
  <w:style w:type="paragraph" w:styleId="ad">
    <w:name w:val="No Spacing"/>
    <w:link w:val="ae"/>
    <w:uiPriority w:val="1"/>
    <w:qFormat/>
    <w:rsid w:val="007E2928"/>
    <w:pPr>
      <w:spacing w:after="0" w:line="240" w:lineRule="auto"/>
    </w:pPr>
    <w:rPr>
      <w:rFonts w:ascii="Calibri" w:eastAsia="Calibri" w:hAnsi="Calibri" w:cs="Times New Roman"/>
    </w:rPr>
  </w:style>
  <w:style w:type="character" w:customStyle="1" w:styleId="tlid-translation">
    <w:name w:val="tlid-translation"/>
    <w:basedOn w:val="a0"/>
    <w:rsid w:val="00344D28"/>
  </w:style>
  <w:style w:type="paragraph" w:styleId="af">
    <w:name w:val="Plain Text"/>
    <w:basedOn w:val="a"/>
    <w:link w:val="af0"/>
    <w:rsid w:val="00291E23"/>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291E23"/>
    <w:rPr>
      <w:rFonts w:ascii="Courier New" w:eastAsia="Times New Roman" w:hAnsi="Courier New" w:cs="Times New Roman"/>
      <w:sz w:val="20"/>
      <w:szCs w:val="20"/>
    </w:rPr>
  </w:style>
  <w:style w:type="character" w:customStyle="1" w:styleId="ae">
    <w:name w:val="Без интервала Знак"/>
    <w:basedOn w:val="a0"/>
    <w:link w:val="ad"/>
    <w:uiPriority w:val="1"/>
    <w:rsid w:val="00DE5EEB"/>
    <w:rPr>
      <w:rFonts w:ascii="Calibri" w:eastAsia="Calibri" w:hAnsi="Calibri" w:cs="Times New Roman"/>
    </w:rPr>
  </w:style>
  <w:style w:type="character" w:customStyle="1" w:styleId="10">
    <w:name w:val="Заголовок 1 Знак"/>
    <w:basedOn w:val="a0"/>
    <w:link w:val="1"/>
    <w:uiPriority w:val="9"/>
    <w:rsid w:val="00196F40"/>
    <w:rPr>
      <w:rFonts w:ascii="Times New Roman" w:eastAsia="Times New Roman" w:hAnsi="Times New Roman" w:cs="Times New Roman"/>
      <w:b/>
      <w:bCs/>
      <w:kern w:val="36"/>
      <w:sz w:val="48"/>
      <w:szCs w:val="48"/>
      <w:lang w:eastAsia="ru-RU"/>
    </w:rPr>
  </w:style>
  <w:style w:type="paragraph" w:styleId="af1">
    <w:name w:val="Revision"/>
    <w:hidden/>
    <w:uiPriority w:val="99"/>
    <w:semiHidden/>
    <w:rsid w:val="00201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1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9B06-9CDA-41A7-BF5C-3B49C6DC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предприятие "БГЦА"</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Халтурина</dc:creator>
  <cp:lastModifiedBy>Суворова Наталья Александровна</cp:lastModifiedBy>
  <cp:revision>5</cp:revision>
  <cp:lastPrinted>2023-07-27T09:29:00Z</cp:lastPrinted>
  <dcterms:created xsi:type="dcterms:W3CDTF">2024-05-27T12:12:00Z</dcterms:created>
  <dcterms:modified xsi:type="dcterms:W3CDTF">2024-05-27T12:24:00Z</dcterms:modified>
</cp:coreProperties>
</file>