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809D" w14:textId="7142E602" w:rsidR="00231D4C" w:rsidRPr="00A37C43" w:rsidRDefault="00231D4C" w:rsidP="00231D4C">
      <w:pPr>
        <w:spacing w:after="0" w:line="240" w:lineRule="auto"/>
        <w:rPr>
          <w:rFonts w:ascii="Times New Roman" w:hAnsi="Times New Roman" w:cs="Times New Roman"/>
          <w:b/>
          <w:szCs w:val="28"/>
        </w:rPr>
      </w:pPr>
      <w:bookmarkStart w:id="0" w:name="_Hlk5712867"/>
    </w:p>
    <w:p w14:paraId="6955C719" w14:textId="77777777" w:rsidR="00231D4C" w:rsidRPr="00A37C43" w:rsidRDefault="00231D4C" w:rsidP="00231D4C">
      <w:pPr>
        <w:spacing w:after="0" w:line="240" w:lineRule="auto"/>
        <w:rPr>
          <w:rFonts w:ascii="Times New Roman" w:hAnsi="Times New Roman" w:cs="Times New Roman"/>
          <w:b/>
          <w:szCs w:val="28"/>
        </w:rPr>
      </w:pPr>
    </w:p>
    <w:p w14:paraId="1AC3EF8A" w14:textId="77777777" w:rsidR="00231D4C" w:rsidRPr="00A37C43" w:rsidRDefault="00231D4C" w:rsidP="00231D4C">
      <w:pPr>
        <w:spacing w:after="0" w:line="240" w:lineRule="auto"/>
        <w:rPr>
          <w:rFonts w:ascii="Times New Roman" w:hAnsi="Times New Roman" w:cs="Times New Roman"/>
          <w:b/>
          <w:szCs w:val="28"/>
        </w:rPr>
      </w:pPr>
    </w:p>
    <w:p w14:paraId="69C9325C" w14:textId="77777777" w:rsidR="00231D4C" w:rsidRPr="00A37C43" w:rsidRDefault="00231D4C" w:rsidP="00231D4C">
      <w:pPr>
        <w:spacing w:after="0" w:line="240" w:lineRule="auto"/>
        <w:rPr>
          <w:rFonts w:ascii="Times New Roman" w:hAnsi="Times New Roman" w:cs="Times New Roman"/>
          <w:b/>
          <w:szCs w:val="28"/>
        </w:rPr>
      </w:pPr>
    </w:p>
    <w:p w14:paraId="669DDA39" w14:textId="77777777" w:rsidR="00231D4C" w:rsidRPr="00A37C43" w:rsidRDefault="00231D4C" w:rsidP="00231D4C">
      <w:pPr>
        <w:spacing w:after="0" w:line="240" w:lineRule="auto"/>
        <w:rPr>
          <w:rFonts w:ascii="Times New Roman" w:hAnsi="Times New Roman" w:cs="Times New Roman"/>
          <w:b/>
          <w:szCs w:val="28"/>
        </w:rPr>
      </w:pPr>
    </w:p>
    <w:p w14:paraId="50C99EA3" w14:textId="77777777" w:rsidR="00231D4C" w:rsidRPr="00A37C43" w:rsidRDefault="00231D4C" w:rsidP="00231D4C">
      <w:pPr>
        <w:spacing w:after="0" w:line="240" w:lineRule="auto"/>
        <w:rPr>
          <w:rFonts w:ascii="Times New Roman" w:hAnsi="Times New Roman" w:cs="Times New Roman"/>
          <w:b/>
          <w:szCs w:val="28"/>
        </w:rPr>
      </w:pPr>
    </w:p>
    <w:p w14:paraId="61D7BC90" w14:textId="77777777" w:rsidR="00231D4C" w:rsidRPr="00A37C43" w:rsidRDefault="00231D4C" w:rsidP="00231D4C">
      <w:pPr>
        <w:spacing w:after="0" w:line="240" w:lineRule="auto"/>
        <w:rPr>
          <w:rFonts w:ascii="Times New Roman" w:hAnsi="Times New Roman" w:cs="Times New Roman"/>
          <w:b/>
          <w:szCs w:val="28"/>
        </w:rPr>
      </w:pPr>
    </w:p>
    <w:p w14:paraId="2C69C8FD" w14:textId="77777777" w:rsidR="00231D4C" w:rsidRPr="00A37C43" w:rsidRDefault="00231D4C" w:rsidP="00231D4C">
      <w:pPr>
        <w:spacing w:after="0" w:line="240" w:lineRule="auto"/>
        <w:rPr>
          <w:rFonts w:ascii="Times New Roman" w:hAnsi="Times New Roman" w:cs="Times New Roman"/>
          <w:b/>
          <w:szCs w:val="28"/>
        </w:rPr>
      </w:pPr>
    </w:p>
    <w:p w14:paraId="7150623B" w14:textId="77777777" w:rsidR="00231D4C" w:rsidRPr="00A37C43" w:rsidRDefault="00231D4C" w:rsidP="00231D4C">
      <w:pPr>
        <w:spacing w:after="0" w:line="240" w:lineRule="auto"/>
        <w:rPr>
          <w:rFonts w:ascii="Times New Roman" w:hAnsi="Times New Roman" w:cs="Times New Roman"/>
          <w:b/>
          <w:szCs w:val="28"/>
        </w:rPr>
      </w:pPr>
    </w:p>
    <w:p w14:paraId="33D566D9" w14:textId="0794759B" w:rsidR="00231D4C" w:rsidRDefault="00231D4C" w:rsidP="00231D4C">
      <w:pPr>
        <w:spacing w:after="0" w:line="240" w:lineRule="auto"/>
        <w:rPr>
          <w:rFonts w:ascii="Times New Roman" w:hAnsi="Times New Roman" w:cs="Times New Roman"/>
          <w:b/>
          <w:szCs w:val="28"/>
        </w:rPr>
      </w:pPr>
    </w:p>
    <w:p w14:paraId="65706617" w14:textId="240975B2" w:rsidR="00D02E62" w:rsidRDefault="00D02E62" w:rsidP="00231D4C">
      <w:pPr>
        <w:spacing w:after="0" w:line="240" w:lineRule="auto"/>
        <w:rPr>
          <w:rFonts w:ascii="Times New Roman" w:hAnsi="Times New Roman" w:cs="Times New Roman"/>
          <w:b/>
          <w:szCs w:val="28"/>
        </w:rPr>
      </w:pPr>
    </w:p>
    <w:p w14:paraId="19F4F260" w14:textId="77777777" w:rsidR="00D02E62" w:rsidRPr="00A37C43" w:rsidRDefault="00D02E62" w:rsidP="00231D4C">
      <w:pPr>
        <w:spacing w:after="0" w:line="240" w:lineRule="auto"/>
        <w:rPr>
          <w:rFonts w:ascii="Times New Roman" w:hAnsi="Times New Roman" w:cs="Times New Roman"/>
          <w:b/>
          <w:szCs w:val="28"/>
        </w:rPr>
      </w:pPr>
    </w:p>
    <w:p w14:paraId="1CD75E96" w14:textId="77777777" w:rsidR="00231D4C" w:rsidRPr="00A37C43" w:rsidRDefault="00231D4C" w:rsidP="00231D4C">
      <w:pPr>
        <w:spacing w:after="0" w:line="240" w:lineRule="auto"/>
        <w:rPr>
          <w:rFonts w:ascii="Times New Roman" w:hAnsi="Times New Roman" w:cs="Times New Roman"/>
          <w:b/>
          <w:szCs w:val="28"/>
        </w:rPr>
      </w:pPr>
    </w:p>
    <w:p w14:paraId="0D546C79" w14:textId="77777777" w:rsidR="00231D4C" w:rsidRPr="00A37C43" w:rsidRDefault="00231D4C" w:rsidP="00231D4C">
      <w:pPr>
        <w:spacing w:after="0" w:line="240" w:lineRule="auto"/>
        <w:rPr>
          <w:rFonts w:ascii="Times New Roman" w:hAnsi="Times New Roman" w:cs="Times New Roman"/>
          <w:b/>
          <w:szCs w:val="28"/>
        </w:rPr>
      </w:pPr>
    </w:p>
    <w:p w14:paraId="7AD21879" w14:textId="77777777" w:rsidR="00231D4C" w:rsidRPr="00A37C43" w:rsidRDefault="00231D4C" w:rsidP="00231D4C">
      <w:pPr>
        <w:spacing w:after="0" w:line="240" w:lineRule="auto"/>
        <w:rPr>
          <w:rFonts w:ascii="Times New Roman" w:hAnsi="Times New Roman" w:cs="Times New Roman"/>
          <w:b/>
          <w:szCs w:val="28"/>
        </w:rPr>
      </w:pPr>
    </w:p>
    <w:p w14:paraId="74665ED9" w14:textId="77777777" w:rsidR="00D02E62" w:rsidRDefault="00D02E62" w:rsidP="00D02E62">
      <w:pPr>
        <w:spacing w:after="0" w:line="240" w:lineRule="auto"/>
        <w:rPr>
          <w:rFonts w:ascii="Times New Roman" w:hAnsi="Times New Roman"/>
          <w:b/>
          <w:szCs w:val="28"/>
        </w:rPr>
      </w:pPr>
      <w:bookmarkStart w:id="1" w:name="_Hlk5712954"/>
      <w:bookmarkStart w:id="2" w:name="_Hlk34318573"/>
    </w:p>
    <w:p w14:paraId="16519FDF" w14:textId="77777777" w:rsidR="00D02E62" w:rsidRPr="00461700" w:rsidRDefault="00D02E62" w:rsidP="00D02E62">
      <w:pPr>
        <w:pStyle w:val="af1"/>
        <w:jc w:val="center"/>
        <w:rPr>
          <w:rFonts w:ascii="Times New Roman" w:hAnsi="Times New Roman"/>
          <w:b/>
          <w:sz w:val="32"/>
          <w:szCs w:val="32"/>
        </w:rPr>
      </w:pPr>
      <w:r w:rsidRPr="00461700">
        <w:rPr>
          <w:rFonts w:ascii="Times New Roman" w:hAnsi="Times New Roman"/>
          <w:b/>
          <w:sz w:val="32"/>
          <w:szCs w:val="32"/>
        </w:rPr>
        <w:t>PL SM 4.4-2021</w:t>
      </w:r>
    </w:p>
    <w:p w14:paraId="546EFD5C" w14:textId="77777777" w:rsidR="00D02E62" w:rsidRPr="004D1E40" w:rsidRDefault="00D02E62" w:rsidP="00D02E62">
      <w:pPr>
        <w:spacing w:after="0" w:line="240" w:lineRule="auto"/>
        <w:rPr>
          <w:rFonts w:ascii="Times New Roman" w:hAnsi="Times New Roman"/>
          <w:b/>
          <w:sz w:val="32"/>
          <w:szCs w:val="32"/>
        </w:rPr>
      </w:pPr>
    </w:p>
    <w:p w14:paraId="40FA99F9" w14:textId="77777777" w:rsidR="00D02E62" w:rsidRPr="00461700" w:rsidRDefault="00D02E62" w:rsidP="00D02E62">
      <w:pPr>
        <w:pStyle w:val="af1"/>
        <w:jc w:val="center"/>
        <w:rPr>
          <w:rFonts w:ascii="Times New Roman" w:hAnsi="Times New Roman"/>
          <w:b/>
          <w:sz w:val="32"/>
          <w:szCs w:val="32"/>
        </w:rPr>
      </w:pPr>
      <w:r w:rsidRPr="00461700">
        <w:rPr>
          <w:rFonts w:ascii="Times New Roman" w:hAnsi="Times New Roman"/>
          <w:b/>
          <w:sz w:val="32"/>
          <w:szCs w:val="32"/>
        </w:rPr>
        <w:t>IMPARTIALITY POLICY</w:t>
      </w:r>
    </w:p>
    <w:p w14:paraId="4ECE5B5B" w14:textId="77777777" w:rsidR="00231D4C" w:rsidRPr="00A37C43" w:rsidRDefault="00231D4C" w:rsidP="00231D4C">
      <w:pPr>
        <w:pStyle w:val="af1"/>
        <w:jc w:val="center"/>
        <w:rPr>
          <w:rFonts w:ascii="Times New Roman" w:hAnsi="Times New Roman"/>
          <w:b/>
          <w:sz w:val="32"/>
          <w:szCs w:val="32"/>
        </w:rPr>
      </w:pPr>
    </w:p>
    <w:bookmarkEnd w:id="1"/>
    <w:bookmarkEnd w:id="2"/>
    <w:p w14:paraId="5D93A419" w14:textId="77777777" w:rsidR="00231D4C" w:rsidRPr="00A37C43" w:rsidRDefault="00231D4C" w:rsidP="00231D4C">
      <w:pPr>
        <w:pStyle w:val="af1"/>
        <w:jc w:val="center"/>
        <w:rPr>
          <w:rFonts w:ascii="Times New Roman" w:hAnsi="Times New Roman"/>
          <w:b/>
          <w:sz w:val="28"/>
          <w:szCs w:val="28"/>
        </w:rPr>
      </w:pPr>
    </w:p>
    <w:p w14:paraId="040B3E75" w14:textId="77777777" w:rsidR="00231D4C" w:rsidRPr="00A37C43" w:rsidRDefault="00231D4C" w:rsidP="00231D4C">
      <w:pPr>
        <w:pStyle w:val="af1"/>
        <w:jc w:val="center"/>
        <w:rPr>
          <w:rFonts w:ascii="Times New Roman" w:hAnsi="Times New Roman"/>
          <w:b/>
          <w:sz w:val="28"/>
          <w:szCs w:val="28"/>
        </w:rPr>
      </w:pPr>
    </w:p>
    <w:p w14:paraId="3E67CD25" w14:textId="77777777" w:rsidR="00231D4C" w:rsidRPr="00A37C43" w:rsidRDefault="00231D4C" w:rsidP="00231D4C">
      <w:pPr>
        <w:spacing w:after="0" w:line="240" w:lineRule="auto"/>
        <w:rPr>
          <w:rFonts w:ascii="Times New Roman" w:hAnsi="Times New Roman" w:cs="Times New Roman"/>
          <w:b/>
          <w:szCs w:val="28"/>
        </w:rPr>
      </w:pPr>
    </w:p>
    <w:p w14:paraId="2F35D896" w14:textId="77777777" w:rsidR="00231D4C" w:rsidRPr="00A37C43" w:rsidRDefault="00231D4C" w:rsidP="00231D4C">
      <w:pPr>
        <w:spacing w:after="0" w:line="240" w:lineRule="auto"/>
        <w:rPr>
          <w:rFonts w:ascii="Times New Roman" w:hAnsi="Times New Roman" w:cs="Times New Roman"/>
          <w:b/>
          <w:szCs w:val="28"/>
        </w:rPr>
      </w:pPr>
    </w:p>
    <w:p w14:paraId="3FC2CBA8" w14:textId="77777777" w:rsidR="00231D4C" w:rsidRPr="00A37C43" w:rsidRDefault="00231D4C" w:rsidP="00231D4C">
      <w:pPr>
        <w:spacing w:after="0" w:line="240" w:lineRule="auto"/>
        <w:rPr>
          <w:rFonts w:ascii="Times New Roman" w:hAnsi="Times New Roman" w:cs="Times New Roman"/>
          <w:b/>
          <w:szCs w:val="28"/>
        </w:rPr>
      </w:pPr>
    </w:p>
    <w:p w14:paraId="2F0BCBB7" w14:textId="77777777" w:rsidR="00231D4C" w:rsidRPr="00A37C43" w:rsidRDefault="00231D4C" w:rsidP="00231D4C">
      <w:pPr>
        <w:spacing w:after="0" w:line="240" w:lineRule="auto"/>
        <w:rPr>
          <w:rFonts w:ascii="Times New Roman" w:hAnsi="Times New Roman" w:cs="Times New Roman"/>
          <w:b/>
          <w:szCs w:val="28"/>
        </w:rPr>
      </w:pPr>
    </w:p>
    <w:p w14:paraId="72930398" w14:textId="2217E416" w:rsidR="00231D4C" w:rsidRDefault="00231D4C" w:rsidP="00231D4C">
      <w:pPr>
        <w:spacing w:after="0" w:line="240" w:lineRule="auto"/>
        <w:rPr>
          <w:rFonts w:ascii="Times New Roman" w:hAnsi="Times New Roman" w:cs="Times New Roman"/>
          <w:b/>
          <w:szCs w:val="28"/>
        </w:rPr>
      </w:pPr>
    </w:p>
    <w:p w14:paraId="0995E634" w14:textId="56AD13EF" w:rsidR="00150ABC" w:rsidRDefault="00150ABC" w:rsidP="00231D4C">
      <w:pPr>
        <w:spacing w:after="0" w:line="240" w:lineRule="auto"/>
        <w:rPr>
          <w:rFonts w:ascii="Times New Roman" w:hAnsi="Times New Roman" w:cs="Times New Roman"/>
          <w:b/>
          <w:szCs w:val="28"/>
        </w:rPr>
      </w:pPr>
    </w:p>
    <w:p w14:paraId="1FCD8DEB" w14:textId="77777777" w:rsidR="00150ABC" w:rsidRPr="00A37C43" w:rsidRDefault="00150ABC" w:rsidP="00231D4C">
      <w:pPr>
        <w:spacing w:after="0" w:line="240" w:lineRule="auto"/>
        <w:rPr>
          <w:rFonts w:ascii="Times New Roman" w:hAnsi="Times New Roman" w:cs="Times New Roman"/>
          <w:b/>
          <w:szCs w:val="28"/>
        </w:rPr>
      </w:pPr>
    </w:p>
    <w:p w14:paraId="4E10AB1C" w14:textId="70812829" w:rsidR="00D1209B" w:rsidRPr="00A37C43" w:rsidRDefault="00D1209B" w:rsidP="00231D4C">
      <w:pPr>
        <w:spacing w:after="0" w:line="240" w:lineRule="auto"/>
        <w:rPr>
          <w:rFonts w:ascii="Times New Roman" w:hAnsi="Times New Roman" w:cs="Times New Roman"/>
          <w:b/>
          <w:szCs w:val="28"/>
        </w:rPr>
      </w:pPr>
    </w:p>
    <w:p w14:paraId="25EEA8AE" w14:textId="4FC9D162" w:rsidR="00D1209B" w:rsidRPr="00A37C43" w:rsidRDefault="00D1209B" w:rsidP="00231D4C">
      <w:pPr>
        <w:spacing w:after="0" w:line="240" w:lineRule="auto"/>
        <w:rPr>
          <w:rFonts w:ascii="Times New Roman" w:hAnsi="Times New Roman" w:cs="Times New Roman"/>
          <w:b/>
          <w:szCs w:val="28"/>
        </w:rPr>
      </w:pPr>
    </w:p>
    <w:p w14:paraId="0C7282F5" w14:textId="2016A921" w:rsidR="00D1209B" w:rsidRPr="00A37C43" w:rsidRDefault="00D1209B" w:rsidP="00231D4C">
      <w:pPr>
        <w:spacing w:after="0" w:line="240" w:lineRule="auto"/>
        <w:rPr>
          <w:rFonts w:ascii="Times New Roman" w:hAnsi="Times New Roman" w:cs="Times New Roman"/>
          <w:b/>
          <w:szCs w:val="28"/>
        </w:rPr>
      </w:pPr>
    </w:p>
    <w:p w14:paraId="20630C57" w14:textId="4E1385D7" w:rsidR="00D1209B" w:rsidRDefault="00D1209B" w:rsidP="00231D4C">
      <w:pPr>
        <w:spacing w:after="0" w:line="240" w:lineRule="auto"/>
        <w:rPr>
          <w:rFonts w:ascii="Times New Roman" w:hAnsi="Times New Roman" w:cs="Times New Roman"/>
          <w:b/>
          <w:szCs w:val="28"/>
        </w:rPr>
      </w:pPr>
    </w:p>
    <w:p w14:paraId="5E0264BE" w14:textId="77777777" w:rsidR="00C63D31" w:rsidRPr="00A37C43" w:rsidRDefault="00C63D31" w:rsidP="00231D4C">
      <w:pPr>
        <w:spacing w:after="0" w:line="240" w:lineRule="auto"/>
        <w:rPr>
          <w:rFonts w:ascii="Times New Roman" w:hAnsi="Times New Roman" w:cs="Times New Roman"/>
          <w:b/>
          <w:szCs w:val="28"/>
        </w:rPr>
      </w:pPr>
    </w:p>
    <w:p w14:paraId="48FAF693" w14:textId="4419E01B" w:rsidR="00D1209B" w:rsidRPr="00A37C43" w:rsidRDefault="00150ABC" w:rsidP="00150ABC">
      <w:pPr>
        <w:tabs>
          <w:tab w:val="left" w:pos="4140"/>
        </w:tabs>
        <w:spacing w:after="0" w:line="240" w:lineRule="auto"/>
        <w:rPr>
          <w:rFonts w:ascii="Times New Roman" w:hAnsi="Times New Roman" w:cs="Times New Roman"/>
          <w:b/>
          <w:szCs w:val="28"/>
        </w:rPr>
      </w:pPr>
      <w:r>
        <w:rPr>
          <w:rFonts w:ascii="Times New Roman" w:hAnsi="Times New Roman" w:cs="Times New Roman"/>
          <w:b/>
          <w:szCs w:val="28"/>
        </w:rPr>
        <w:tab/>
      </w:r>
    </w:p>
    <w:p w14:paraId="427008FE" w14:textId="77777777" w:rsidR="00D02E62" w:rsidRDefault="00D02E62" w:rsidP="007D6345">
      <w:pPr>
        <w:tabs>
          <w:tab w:val="left" w:pos="5415"/>
        </w:tabs>
        <w:spacing w:after="0" w:line="240" w:lineRule="auto"/>
        <w:rPr>
          <w:rFonts w:ascii="Times New Roman" w:hAnsi="Times New Roman" w:cs="Times New Roman"/>
          <w:b/>
          <w:szCs w:val="28"/>
        </w:rPr>
      </w:pPr>
    </w:p>
    <w:p w14:paraId="427AC313" w14:textId="65031601" w:rsidR="00D1209B" w:rsidRDefault="007D6345" w:rsidP="007D6345">
      <w:pPr>
        <w:tabs>
          <w:tab w:val="left" w:pos="5415"/>
        </w:tabs>
        <w:spacing w:after="0" w:line="240" w:lineRule="auto"/>
        <w:rPr>
          <w:rFonts w:ascii="Times New Roman" w:hAnsi="Times New Roman" w:cs="Times New Roman"/>
          <w:b/>
          <w:szCs w:val="28"/>
        </w:rPr>
      </w:pPr>
      <w:r>
        <w:rPr>
          <w:rFonts w:ascii="Times New Roman" w:hAnsi="Times New Roman" w:cs="Times New Roman"/>
          <w:b/>
          <w:szCs w:val="28"/>
        </w:rPr>
        <w:tab/>
      </w:r>
    </w:p>
    <w:p w14:paraId="344D9388" w14:textId="77777777" w:rsidR="007D6345" w:rsidRPr="00A37C43" w:rsidRDefault="007D6345" w:rsidP="007D6345">
      <w:pPr>
        <w:tabs>
          <w:tab w:val="left" w:pos="5415"/>
        </w:tabs>
        <w:spacing w:after="0" w:line="240" w:lineRule="auto"/>
        <w:rPr>
          <w:rFonts w:ascii="Times New Roman" w:hAnsi="Times New Roman" w:cs="Times New Roman"/>
          <w:b/>
          <w:szCs w:val="28"/>
        </w:rPr>
      </w:pPr>
    </w:p>
    <w:p w14:paraId="000BC0DA" w14:textId="77777777" w:rsidR="00231D4C" w:rsidRPr="00A37C43" w:rsidRDefault="00231D4C" w:rsidP="00231D4C">
      <w:pPr>
        <w:spacing w:after="0" w:line="240" w:lineRule="auto"/>
        <w:rPr>
          <w:rFonts w:ascii="Times New Roman" w:hAnsi="Times New Roman" w:cs="Times New Roman"/>
          <w:b/>
          <w:szCs w:val="28"/>
        </w:rPr>
      </w:pPr>
    </w:p>
    <w:p w14:paraId="65E9E988" w14:textId="77777777" w:rsidR="00231D4C" w:rsidRPr="00A37C43" w:rsidRDefault="00231D4C" w:rsidP="00231D4C">
      <w:pPr>
        <w:spacing w:after="0" w:line="240" w:lineRule="auto"/>
        <w:rPr>
          <w:rFonts w:ascii="Times New Roman" w:hAnsi="Times New Roman" w:cs="Times New Roman"/>
          <w:b/>
          <w:szCs w:val="28"/>
        </w:rPr>
      </w:pPr>
    </w:p>
    <w:p w14:paraId="59B0ECE8" w14:textId="77777777" w:rsidR="00231D4C" w:rsidRPr="00A37C43" w:rsidRDefault="00231D4C" w:rsidP="00231D4C">
      <w:pPr>
        <w:spacing w:after="0" w:line="240" w:lineRule="auto"/>
        <w:rPr>
          <w:rFonts w:ascii="Times New Roman" w:hAnsi="Times New Roman" w:cs="Times New Roman"/>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5649"/>
      </w:tblGrid>
      <w:tr w:rsidR="00D02E62" w:rsidRPr="00A37C43" w14:paraId="3B20C740" w14:textId="77777777" w:rsidTr="00D02E62">
        <w:trPr>
          <w:trHeight w:val="99"/>
        </w:trPr>
        <w:tc>
          <w:tcPr>
            <w:tcW w:w="1977" w:type="pct"/>
          </w:tcPr>
          <w:p w14:paraId="737D6CB3" w14:textId="77777777" w:rsidR="00D02E62" w:rsidRPr="00A37C43" w:rsidRDefault="00D02E62" w:rsidP="00D02E62">
            <w:pPr>
              <w:pStyle w:val="af1"/>
              <w:rPr>
                <w:rFonts w:ascii="Times New Roman" w:hAnsi="Times New Roman"/>
                <w:sz w:val="24"/>
                <w:szCs w:val="24"/>
              </w:rPr>
            </w:pPr>
            <w:r w:rsidRPr="00A37C43">
              <w:rPr>
                <w:rFonts w:ascii="Times New Roman" w:hAnsi="Times New Roman"/>
                <w:sz w:val="24"/>
                <w:szCs w:val="24"/>
              </w:rPr>
              <w:t>Developed</w:t>
            </w:r>
          </w:p>
        </w:tc>
        <w:tc>
          <w:tcPr>
            <w:tcW w:w="3023" w:type="pct"/>
          </w:tcPr>
          <w:p w14:paraId="4289BB96" w14:textId="067B1D2E" w:rsidR="00D02E62" w:rsidRPr="00A37C43" w:rsidRDefault="00D02E62" w:rsidP="00D02E62">
            <w:pPr>
              <w:pStyle w:val="af1"/>
              <w:rPr>
                <w:rFonts w:ascii="Times New Roman" w:hAnsi="Times New Roman"/>
                <w:sz w:val="24"/>
                <w:szCs w:val="24"/>
              </w:rPr>
            </w:pPr>
            <w:r>
              <w:rPr>
                <w:rFonts w:ascii="Times New Roman" w:hAnsi="Times New Roman"/>
                <w:sz w:val="24"/>
                <w:szCs w:val="24"/>
              </w:rPr>
              <w:t>Quality Manager</w:t>
            </w:r>
          </w:p>
        </w:tc>
      </w:tr>
      <w:tr w:rsidR="00D02E62" w:rsidRPr="00A37C43" w14:paraId="205298FC" w14:textId="77777777" w:rsidTr="00D02E62">
        <w:trPr>
          <w:trHeight w:val="99"/>
        </w:trPr>
        <w:tc>
          <w:tcPr>
            <w:tcW w:w="1977" w:type="pct"/>
          </w:tcPr>
          <w:p w14:paraId="7388A83B" w14:textId="77777777" w:rsidR="00D02E62" w:rsidRPr="00A37C43" w:rsidRDefault="00D02E62" w:rsidP="00D02E62">
            <w:pPr>
              <w:pStyle w:val="af1"/>
              <w:rPr>
                <w:rFonts w:ascii="Times New Roman" w:hAnsi="Times New Roman"/>
                <w:sz w:val="24"/>
                <w:szCs w:val="24"/>
              </w:rPr>
            </w:pPr>
            <w:r w:rsidRPr="00A37C43">
              <w:rPr>
                <w:rFonts w:ascii="Times New Roman" w:hAnsi="Times New Roman"/>
                <w:sz w:val="24"/>
                <w:szCs w:val="24"/>
              </w:rPr>
              <w:t>Responsible for revision</w:t>
            </w:r>
          </w:p>
        </w:tc>
        <w:tc>
          <w:tcPr>
            <w:tcW w:w="3023" w:type="pct"/>
          </w:tcPr>
          <w:p w14:paraId="29A7EDE3" w14:textId="3C1B217D" w:rsidR="00D02E62" w:rsidRPr="00A37C43" w:rsidRDefault="00D02E62" w:rsidP="00D02E62">
            <w:pPr>
              <w:pStyle w:val="af1"/>
              <w:rPr>
                <w:rFonts w:ascii="Times New Roman" w:hAnsi="Times New Roman"/>
                <w:sz w:val="24"/>
                <w:szCs w:val="24"/>
              </w:rPr>
            </w:pPr>
            <w:r>
              <w:rPr>
                <w:rFonts w:ascii="Times New Roman" w:hAnsi="Times New Roman"/>
                <w:sz w:val="24"/>
                <w:szCs w:val="24"/>
              </w:rPr>
              <w:t>Quality Manager</w:t>
            </w:r>
          </w:p>
        </w:tc>
      </w:tr>
      <w:tr w:rsidR="00D02E62" w:rsidRPr="00A37C43" w14:paraId="7D26084A" w14:textId="77777777" w:rsidTr="00D02E62">
        <w:trPr>
          <w:trHeight w:val="141"/>
        </w:trPr>
        <w:tc>
          <w:tcPr>
            <w:tcW w:w="1977" w:type="pct"/>
          </w:tcPr>
          <w:p w14:paraId="1BC3BA31" w14:textId="77777777" w:rsidR="00D02E62" w:rsidRPr="00A37C43" w:rsidRDefault="00D02E62" w:rsidP="00D02E62">
            <w:pPr>
              <w:pStyle w:val="af1"/>
              <w:rPr>
                <w:rFonts w:ascii="Times New Roman" w:hAnsi="Times New Roman"/>
                <w:sz w:val="24"/>
                <w:szCs w:val="24"/>
              </w:rPr>
            </w:pPr>
            <w:r w:rsidRPr="00A37C43">
              <w:rPr>
                <w:rFonts w:ascii="Times New Roman" w:hAnsi="Times New Roman"/>
                <w:sz w:val="24"/>
                <w:szCs w:val="24"/>
              </w:rPr>
              <w:t>Approved</w:t>
            </w:r>
          </w:p>
        </w:tc>
        <w:tc>
          <w:tcPr>
            <w:tcW w:w="3023" w:type="pct"/>
          </w:tcPr>
          <w:p w14:paraId="6E0B495D" w14:textId="77E07F97" w:rsidR="00D02E62" w:rsidRPr="002E113D" w:rsidRDefault="00D02E62" w:rsidP="00D02E62">
            <w:pPr>
              <w:pStyle w:val="af1"/>
              <w:rPr>
                <w:rFonts w:ascii="Times New Roman" w:hAnsi="Times New Roman"/>
                <w:sz w:val="24"/>
                <w:szCs w:val="24"/>
                <w:lang w:val="en-US"/>
              </w:rPr>
            </w:pPr>
            <w:r w:rsidRPr="006B7624">
              <w:rPr>
                <w:rFonts w:ascii="Times New Roman" w:hAnsi="Times New Roman"/>
                <w:sz w:val="24"/>
                <w:szCs w:val="24"/>
              </w:rPr>
              <w:t xml:space="preserve">Order No. 251 dated 24.12.2021 </w:t>
            </w:r>
          </w:p>
        </w:tc>
      </w:tr>
      <w:tr w:rsidR="00D02E62" w:rsidRPr="00A37C43" w14:paraId="65A9367D" w14:textId="77777777" w:rsidTr="00D02E62">
        <w:trPr>
          <w:trHeight w:val="141"/>
        </w:trPr>
        <w:tc>
          <w:tcPr>
            <w:tcW w:w="1977" w:type="pct"/>
          </w:tcPr>
          <w:p w14:paraId="371904EE" w14:textId="77777777" w:rsidR="00D02E62" w:rsidRPr="00A37C43" w:rsidRDefault="00D02E62" w:rsidP="00D02E62">
            <w:pPr>
              <w:pStyle w:val="af1"/>
              <w:rPr>
                <w:rFonts w:ascii="Times New Roman" w:hAnsi="Times New Roman"/>
                <w:sz w:val="24"/>
                <w:szCs w:val="24"/>
              </w:rPr>
            </w:pPr>
            <w:r w:rsidRPr="00A37C43">
              <w:rPr>
                <w:rFonts w:ascii="Times New Roman" w:hAnsi="Times New Roman"/>
                <w:sz w:val="24"/>
                <w:szCs w:val="24"/>
              </w:rPr>
              <w:t>Put into effect</w:t>
            </w:r>
          </w:p>
        </w:tc>
        <w:tc>
          <w:tcPr>
            <w:tcW w:w="3023" w:type="pct"/>
          </w:tcPr>
          <w:p w14:paraId="25428ABA" w14:textId="7A8BB31F" w:rsidR="00D02E62" w:rsidRPr="00150ABC" w:rsidRDefault="00D02E62" w:rsidP="00D02E62">
            <w:pPr>
              <w:pStyle w:val="af1"/>
              <w:rPr>
                <w:rFonts w:ascii="Times New Roman" w:hAnsi="Times New Roman"/>
                <w:sz w:val="24"/>
                <w:szCs w:val="24"/>
              </w:rPr>
            </w:pPr>
            <w:r w:rsidRPr="008A133A">
              <w:rPr>
                <w:rFonts w:ascii="Times New Roman" w:hAnsi="Times New Roman"/>
                <w:sz w:val="24"/>
                <w:szCs w:val="24"/>
              </w:rPr>
              <w:t>From 31.12.2021</w:t>
            </w:r>
          </w:p>
        </w:tc>
      </w:tr>
      <w:tr w:rsidR="00D02E62" w:rsidRPr="00A37C43" w14:paraId="47917E71" w14:textId="77777777" w:rsidTr="00D02E62">
        <w:trPr>
          <w:trHeight w:val="141"/>
        </w:trPr>
        <w:tc>
          <w:tcPr>
            <w:tcW w:w="1977" w:type="pct"/>
          </w:tcPr>
          <w:p w14:paraId="279C40BD" w14:textId="45578B1A" w:rsidR="00D02E62" w:rsidRPr="00B93E2A" w:rsidRDefault="00B93E2A" w:rsidP="00D02E62">
            <w:pPr>
              <w:pStyle w:val="af1"/>
              <w:rPr>
                <w:rFonts w:ascii="Times New Roman" w:hAnsi="Times New Roman"/>
                <w:sz w:val="24"/>
                <w:szCs w:val="24"/>
                <w:lang w:val="en-US"/>
              </w:rPr>
            </w:pPr>
            <w:r>
              <w:rPr>
                <w:rFonts w:ascii="Times New Roman" w:hAnsi="Times New Roman"/>
                <w:sz w:val="24"/>
                <w:szCs w:val="24"/>
                <w:lang w:val="en-US"/>
              </w:rPr>
              <w:t>Revision</w:t>
            </w:r>
          </w:p>
        </w:tc>
        <w:tc>
          <w:tcPr>
            <w:tcW w:w="3023" w:type="pct"/>
          </w:tcPr>
          <w:p w14:paraId="58845F16" w14:textId="5C63A26C" w:rsidR="00D02E62" w:rsidRPr="002E113D" w:rsidRDefault="00D02E62" w:rsidP="00D02E62">
            <w:pPr>
              <w:pStyle w:val="af1"/>
              <w:rPr>
                <w:rFonts w:ascii="Times New Roman" w:hAnsi="Times New Roman"/>
                <w:sz w:val="24"/>
                <w:szCs w:val="24"/>
                <w:lang w:val="en-US"/>
              </w:rPr>
            </w:pPr>
            <w:r w:rsidRPr="000A5F16">
              <w:rPr>
                <w:rFonts w:ascii="Times New Roman" w:hAnsi="Times New Roman"/>
                <w:sz w:val="24"/>
                <w:szCs w:val="24"/>
              </w:rPr>
              <w:t>04</w:t>
            </w:r>
          </w:p>
        </w:tc>
      </w:tr>
      <w:tr w:rsidR="00D02E62" w:rsidRPr="00A37C43" w14:paraId="3C01726A" w14:textId="77777777" w:rsidTr="00D02E62">
        <w:trPr>
          <w:trHeight w:val="141"/>
        </w:trPr>
        <w:tc>
          <w:tcPr>
            <w:tcW w:w="1977" w:type="pct"/>
          </w:tcPr>
          <w:p w14:paraId="33ACA059" w14:textId="6F3B4A54" w:rsidR="00D02E62" w:rsidRPr="00B93E2A" w:rsidRDefault="00B93E2A" w:rsidP="00D02E62">
            <w:pPr>
              <w:pStyle w:val="af1"/>
              <w:rPr>
                <w:rFonts w:ascii="Times New Roman" w:hAnsi="Times New Roman"/>
                <w:sz w:val="24"/>
                <w:szCs w:val="24"/>
                <w:lang w:val="en-US"/>
              </w:rPr>
            </w:pPr>
            <w:r>
              <w:rPr>
                <w:rFonts w:ascii="Times New Roman" w:hAnsi="Times New Roman"/>
                <w:sz w:val="24"/>
                <w:szCs w:val="24"/>
                <w:lang w:val="en-US"/>
              </w:rPr>
              <w:t>Amendment</w:t>
            </w:r>
          </w:p>
        </w:tc>
        <w:tc>
          <w:tcPr>
            <w:tcW w:w="3023" w:type="pct"/>
          </w:tcPr>
          <w:p w14:paraId="733786EA" w14:textId="77777777" w:rsidR="00D02E62" w:rsidRPr="00A37C43" w:rsidRDefault="00D02E62" w:rsidP="00D02E62">
            <w:pPr>
              <w:pStyle w:val="af1"/>
              <w:rPr>
                <w:rFonts w:ascii="Times New Roman" w:hAnsi="Times New Roman"/>
                <w:sz w:val="24"/>
                <w:szCs w:val="24"/>
              </w:rPr>
            </w:pPr>
          </w:p>
        </w:tc>
      </w:tr>
      <w:tr w:rsidR="00D02E62" w:rsidRPr="00A37C43" w14:paraId="56CE5F7F" w14:textId="77777777" w:rsidTr="00D02E62">
        <w:trPr>
          <w:trHeight w:val="141"/>
        </w:trPr>
        <w:tc>
          <w:tcPr>
            <w:tcW w:w="1977" w:type="pct"/>
          </w:tcPr>
          <w:p w14:paraId="1E8F254D" w14:textId="77777777" w:rsidR="00D02E62" w:rsidRPr="00A37C43" w:rsidRDefault="00D02E62" w:rsidP="00D02E62">
            <w:pPr>
              <w:pStyle w:val="af1"/>
              <w:rPr>
                <w:rFonts w:ascii="Times New Roman" w:hAnsi="Times New Roman"/>
                <w:sz w:val="24"/>
                <w:szCs w:val="24"/>
              </w:rPr>
            </w:pPr>
            <w:r w:rsidRPr="00A37C43">
              <w:rPr>
                <w:rFonts w:ascii="Times New Roman" w:hAnsi="Times New Roman"/>
                <w:sz w:val="24"/>
                <w:szCs w:val="24"/>
              </w:rPr>
              <w:t>Copy</w:t>
            </w:r>
          </w:p>
        </w:tc>
        <w:tc>
          <w:tcPr>
            <w:tcW w:w="3023" w:type="pct"/>
          </w:tcPr>
          <w:p w14:paraId="0C5AEF29" w14:textId="42EE24B8" w:rsidR="00D02E62" w:rsidRPr="00B93E2A" w:rsidRDefault="008245BD" w:rsidP="00D02E62">
            <w:pPr>
              <w:pStyle w:val="af1"/>
              <w:rPr>
                <w:rFonts w:ascii="Times New Roman" w:hAnsi="Times New Roman"/>
                <w:sz w:val="24"/>
                <w:szCs w:val="24"/>
                <w:lang w:val="en-US"/>
              </w:rPr>
            </w:pPr>
            <w:r>
              <w:rPr>
                <w:rFonts w:ascii="Times New Roman" w:hAnsi="Times New Roman"/>
                <w:sz w:val="24"/>
                <w:szCs w:val="24"/>
                <w:lang w:val="en-US"/>
              </w:rPr>
              <w:t>working</w:t>
            </w:r>
          </w:p>
        </w:tc>
      </w:tr>
      <w:tr w:rsidR="00D02E62" w:rsidRPr="00A37C43" w14:paraId="7212E02A" w14:textId="77777777" w:rsidTr="00D02E62">
        <w:trPr>
          <w:trHeight w:val="220"/>
        </w:trPr>
        <w:tc>
          <w:tcPr>
            <w:tcW w:w="1977" w:type="pct"/>
          </w:tcPr>
          <w:p w14:paraId="463269C5" w14:textId="77777777" w:rsidR="00D02E62" w:rsidRPr="00A37C43" w:rsidRDefault="00D02E62" w:rsidP="00D02E62">
            <w:pPr>
              <w:pStyle w:val="af1"/>
              <w:rPr>
                <w:rFonts w:ascii="Times New Roman" w:hAnsi="Times New Roman"/>
                <w:sz w:val="24"/>
                <w:szCs w:val="24"/>
              </w:rPr>
            </w:pPr>
            <w:r w:rsidRPr="00A37C43">
              <w:rPr>
                <w:rFonts w:ascii="Times New Roman" w:hAnsi="Times New Roman"/>
                <w:sz w:val="24"/>
                <w:szCs w:val="24"/>
              </w:rPr>
              <w:t>Instead</w:t>
            </w:r>
          </w:p>
        </w:tc>
        <w:tc>
          <w:tcPr>
            <w:tcW w:w="3023" w:type="pct"/>
          </w:tcPr>
          <w:p w14:paraId="619A672D" w14:textId="3D5B43D4" w:rsidR="00D02E62" w:rsidRPr="00A37C43" w:rsidRDefault="00D02E62" w:rsidP="00D02E62">
            <w:pPr>
              <w:spacing w:after="0"/>
              <w:rPr>
                <w:rFonts w:ascii="Times New Roman" w:hAnsi="Times New Roman" w:cs="Times New Roman"/>
              </w:rPr>
            </w:pPr>
            <w:r>
              <w:rPr>
                <w:rFonts w:ascii="Times New Roman" w:hAnsi="Times New Roman"/>
                <w:sz w:val="24"/>
                <w:szCs w:val="24"/>
              </w:rPr>
              <w:t>PL SM 4.4-2019</w:t>
            </w:r>
          </w:p>
        </w:tc>
      </w:tr>
    </w:tbl>
    <w:bookmarkEnd w:id="0"/>
    <w:p w14:paraId="270B26FF" w14:textId="0E9D4AF6" w:rsidR="00D02E62" w:rsidRPr="008245BD" w:rsidRDefault="00D02E62" w:rsidP="00D02E62">
      <w:pPr>
        <w:spacing w:after="120" w:line="240" w:lineRule="auto"/>
        <w:ind w:firstLine="709"/>
        <w:jc w:val="both"/>
        <w:rPr>
          <w:rFonts w:ascii="Times New Roman" w:hAnsi="Times New Roman" w:cs="Times New Roman"/>
          <w:i/>
          <w:sz w:val="26"/>
          <w:szCs w:val="26"/>
          <w:lang w:val="en-US"/>
        </w:rPr>
      </w:pPr>
      <w:r w:rsidRPr="008245BD">
        <w:rPr>
          <w:rFonts w:ascii="Times New Roman" w:hAnsi="Times New Roman" w:cs="Times New Roman"/>
          <w:i/>
          <w:sz w:val="26"/>
          <w:szCs w:val="26"/>
          <w:lang w:val="en-US"/>
        </w:rPr>
        <w:lastRenderedPageBreak/>
        <w:t>This document defines the policy of the State Enterprise "</w:t>
      </w:r>
      <w:r w:rsidR="00B93E2A" w:rsidRPr="008245BD">
        <w:rPr>
          <w:rFonts w:ascii="Times New Roman" w:hAnsi="Times New Roman" w:cs="Times New Roman"/>
          <w:i/>
          <w:sz w:val="26"/>
          <w:szCs w:val="26"/>
          <w:lang w:val="en-US"/>
        </w:rPr>
        <w:t>BSCA</w:t>
      </w:r>
      <w:r w:rsidRPr="008245BD">
        <w:rPr>
          <w:rFonts w:ascii="Times New Roman" w:hAnsi="Times New Roman" w:cs="Times New Roman"/>
          <w:i/>
          <w:sz w:val="26"/>
          <w:szCs w:val="26"/>
          <w:lang w:val="en-US"/>
        </w:rPr>
        <w:t>" (hereinafter referred to as the BSCA, the accreditation body) to ensure impartiality in the implementation of accreditation activities.</w:t>
      </w:r>
    </w:p>
    <w:p w14:paraId="71E3CB71" w14:textId="295E9B3C" w:rsidR="00D02E62" w:rsidRPr="008245BD" w:rsidRDefault="00D02E62" w:rsidP="00D02E62">
      <w:pPr>
        <w:spacing w:after="120" w:line="240" w:lineRule="auto"/>
        <w:ind w:firstLine="709"/>
        <w:jc w:val="both"/>
        <w:rPr>
          <w:rFonts w:ascii="Times New Roman" w:eastAsia="Calibri" w:hAnsi="Times New Roman" w:cs="Times New Roman"/>
          <w:sz w:val="26"/>
          <w:szCs w:val="26"/>
          <w:lang w:val="en-US"/>
        </w:rPr>
      </w:pPr>
      <w:r w:rsidRPr="008245BD">
        <w:rPr>
          <w:rFonts w:ascii="Times New Roman" w:eastAsia="Calibri" w:hAnsi="Times New Roman" w:cs="Times New Roman"/>
          <w:sz w:val="26"/>
          <w:szCs w:val="26"/>
          <w:lang w:val="en-US"/>
        </w:rPr>
        <w:t xml:space="preserve">Ensuring impartiality is one of the main principles of accreditation activities carried out by </w:t>
      </w:r>
      <w:r w:rsidR="00B93E2A" w:rsidRPr="008245BD">
        <w:rPr>
          <w:rFonts w:ascii="Times New Roman" w:eastAsia="Calibri" w:hAnsi="Times New Roman" w:cs="Times New Roman"/>
          <w:sz w:val="26"/>
          <w:szCs w:val="26"/>
          <w:lang w:val="en-US"/>
        </w:rPr>
        <w:t>BSCA</w:t>
      </w:r>
      <w:r w:rsidRPr="008245BD">
        <w:rPr>
          <w:rFonts w:ascii="Times New Roman" w:eastAsia="Calibri" w:hAnsi="Times New Roman" w:cs="Times New Roman"/>
          <w:sz w:val="26"/>
          <w:szCs w:val="26"/>
          <w:lang w:val="en-US"/>
        </w:rPr>
        <w:t>.</w:t>
      </w:r>
      <w:bookmarkStart w:id="3" w:name="_Hlk90384596"/>
      <w:bookmarkEnd w:id="3"/>
    </w:p>
    <w:p w14:paraId="4B00A0D7" w14:textId="24C41A48" w:rsidR="00D02E62" w:rsidRPr="008245BD" w:rsidRDefault="00B93E2A" w:rsidP="00D02E62">
      <w:pPr>
        <w:spacing w:after="0" w:line="240" w:lineRule="auto"/>
        <w:ind w:firstLine="708"/>
        <w:jc w:val="both"/>
        <w:rPr>
          <w:rFonts w:ascii="Times New Roman" w:hAnsi="Times New Roman" w:cs="Times New Roman"/>
          <w:sz w:val="26"/>
          <w:szCs w:val="26"/>
          <w:lang w:val="en-US"/>
        </w:rPr>
      </w:pPr>
      <w:r w:rsidRPr="008245BD">
        <w:rPr>
          <w:rFonts w:ascii="Times New Roman" w:hAnsi="Times New Roman" w:cs="Times New Roman"/>
          <w:sz w:val="26"/>
          <w:szCs w:val="26"/>
          <w:lang w:val="en-US"/>
        </w:rPr>
        <w:t>BSCA</w:t>
      </w:r>
      <w:r w:rsidR="00D02E62" w:rsidRPr="008245BD">
        <w:rPr>
          <w:rFonts w:ascii="Times New Roman" w:hAnsi="Times New Roman" w:cs="Times New Roman"/>
          <w:sz w:val="26"/>
          <w:szCs w:val="26"/>
          <w:lang w:val="en-US"/>
        </w:rPr>
        <w:t xml:space="preserve"> fulfills the impartiality requirements established in clause 4.4 of GOST ISO/IEC 17011-2018 "Conformity assessment. Requirements for Accreditation Bodies Accrediting Conformity Assessment Bodies".</w:t>
      </w:r>
    </w:p>
    <w:p w14:paraId="72273C6F" w14:textId="7E625D9C" w:rsidR="00D02E62" w:rsidRPr="008245BD" w:rsidRDefault="00B93E2A" w:rsidP="00D02E62">
      <w:pPr>
        <w:spacing w:before="60" w:after="0" w:line="240" w:lineRule="auto"/>
        <w:ind w:firstLine="708"/>
        <w:jc w:val="both"/>
        <w:rPr>
          <w:rFonts w:ascii="Times New Roman" w:hAnsi="Times New Roman" w:cs="Times New Roman"/>
          <w:sz w:val="26"/>
          <w:szCs w:val="26"/>
          <w:lang w:val="en-US"/>
        </w:rPr>
      </w:pPr>
      <w:r w:rsidRPr="008245BD">
        <w:rPr>
          <w:rFonts w:ascii="Times New Roman" w:hAnsi="Times New Roman" w:cs="Times New Roman"/>
          <w:sz w:val="26"/>
          <w:szCs w:val="26"/>
          <w:lang w:val="en-US"/>
        </w:rPr>
        <w:t>BSCA</w:t>
      </w:r>
      <w:r w:rsidR="00D02E62" w:rsidRPr="008245BD">
        <w:rPr>
          <w:rFonts w:ascii="Times New Roman" w:hAnsi="Times New Roman" w:cs="Times New Roman"/>
          <w:sz w:val="26"/>
          <w:szCs w:val="26"/>
          <w:lang w:val="en-US"/>
        </w:rPr>
        <w:t xml:space="preserve"> is responsible for the impartiality of its activities and undertakes to take measures to ensure impartiality in the implementation of accreditation activities by managing any conflict of interest, including potential ones.</w:t>
      </w:r>
    </w:p>
    <w:p w14:paraId="6646507A" w14:textId="19B1B1C0" w:rsidR="00D02E62" w:rsidRPr="008245BD" w:rsidRDefault="00D02E62" w:rsidP="00D02E62">
      <w:pPr>
        <w:spacing w:before="60" w:after="0" w:line="240" w:lineRule="auto"/>
        <w:ind w:firstLine="708"/>
        <w:jc w:val="both"/>
        <w:rPr>
          <w:rFonts w:ascii="Times New Roman" w:hAnsi="Times New Roman" w:cs="Times New Roman"/>
          <w:sz w:val="26"/>
          <w:szCs w:val="26"/>
          <w:lang w:val="en-US"/>
        </w:rPr>
      </w:pPr>
      <w:r w:rsidRPr="008245BD">
        <w:rPr>
          <w:rFonts w:ascii="Times New Roman" w:hAnsi="Times New Roman" w:cs="Times New Roman"/>
          <w:sz w:val="26"/>
          <w:szCs w:val="26"/>
          <w:lang w:val="en-US"/>
        </w:rPr>
        <w:t xml:space="preserve">The structure and management of </w:t>
      </w:r>
      <w:r w:rsidR="00B93E2A" w:rsidRPr="008245BD">
        <w:rPr>
          <w:rFonts w:ascii="Times New Roman" w:hAnsi="Times New Roman" w:cs="Times New Roman"/>
          <w:sz w:val="26"/>
          <w:szCs w:val="26"/>
          <w:lang w:val="en-US"/>
        </w:rPr>
        <w:t>BSCA</w:t>
      </w:r>
      <w:r w:rsidRPr="008245BD">
        <w:rPr>
          <w:rFonts w:ascii="Times New Roman" w:hAnsi="Times New Roman" w:cs="Times New Roman"/>
          <w:sz w:val="26"/>
          <w:szCs w:val="26"/>
          <w:lang w:val="en-US"/>
        </w:rPr>
        <w:t xml:space="preserve"> are organized in such a way as to ensure impartiality and to avoid any commercial, financial or other pressures that could jeopardize impartiality.</w:t>
      </w:r>
    </w:p>
    <w:p w14:paraId="328A56BA" w14:textId="5D92B5BC" w:rsidR="00D02E62" w:rsidRPr="008245BD" w:rsidRDefault="00B93E2A" w:rsidP="00D02E62">
      <w:pPr>
        <w:spacing w:before="60" w:after="0" w:line="240" w:lineRule="auto"/>
        <w:ind w:firstLine="708"/>
        <w:jc w:val="both"/>
        <w:rPr>
          <w:rFonts w:ascii="Times New Roman" w:hAnsi="Times New Roman" w:cs="Times New Roman"/>
          <w:sz w:val="26"/>
          <w:szCs w:val="26"/>
          <w:lang w:val="en-US"/>
        </w:rPr>
      </w:pPr>
      <w:r w:rsidRPr="008245BD">
        <w:rPr>
          <w:rFonts w:ascii="Times New Roman" w:hAnsi="Times New Roman" w:cs="Times New Roman"/>
          <w:sz w:val="26"/>
          <w:szCs w:val="26"/>
          <w:lang w:val="en-US"/>
        </w:rPr>
        <w:t>BSCA</w:t>
      </w:r>
      <w:r w:rsidR="00D02E62" w:rsidRPr="008245BD">
        <w:rPr>
          <w:rFonts w:ascii="Times New Roman" w:hAnsi="Times New Roman" w:cs="Times New Roman"/>
          <w:sz w:val="26"/>
          <w:szCs w:val="26"/>
          <w:lang w:val="en-US"/>
        </w:rPr>
        <w:t xml:space="preserve"> guarantees impartiality in the implementation of accreditation activities by all BSCA personnel (including </w:t>
      </w:r>
      <w:r>
        <w:rPr>
          <w:rFonts w:ascii="Times New Roman" w:hAnsi="Times New Roman" w:cs="Times New Roman"/>
          <w:sz w:val="26"/>
          <w:szCs w:val="26"/>
          <w:lang w:val="en-US"/>
        </w:rPr>
        <w:t>hired</w:t>
      </w:r>
      <w:r w:rsidR="00D02E62" w:rsidRPr="008245BD">
        <w:rPr>
          <w:rFonts w:ascii="Times New Roman" w:hAnsi="Times New Roman" w:cs="Times New Roman"/>
          <w:sz w:val="26"/>
          <w:szCs w:val="26"/>
          <w:lang w:val="en-US"/>
        </w:rPr>
        <w:t xml:space="preserve"> technical experts, experts, members of technical accreditation committees) by undertaking to disclose any potential conflicts of interest related to its relationship or the relationship of its staff in the implementation of accreditation activities. All decisions on accreditation are made by competent persons who did not participate in the assessment of the competence of the conformity assessment body.</w:t>
      </w:r>
    </w:p>
    <w:p w14:paraId="002DE176" w14:textId="79CBA00E" w:rsidR="00D02E62" w:rsidRPr="008245BD" w:rsidRDefault="00B93E2A" w:rsidP="00D02E62">
      <w:pPr>
        <w:spacing w:before="60" w:after="0" w:line="240" w:lineRule="auto"/>
        <w:ind w:firstLine="708"/>
        <w:jc w:val="both"/>
        <w:rPr>
          <w:rFonts w:ascii="Times New Roman" w:hAnsi="Times New Roman" w:cs="Times New Roman"/>
          <w:sz w:val="26"/>
          <w:szCs w:val="26"/>
          <w:lang w:val="en-US"/>
        </w:rPr>
      </w:pPr>
      <w:r w:rsidRPr="008245BD">
        <w:rPr>
          <w:rFonts w:ascii="Times New Roman" w:hAnsi="Times New Roman" w:cs="Times New Roman"/>
          <w:sz w:val="26"/>
          <w:szCs w:val="26"/>
          <w:lang w:val="en-US"/>
        </w:rPr>
        <w:t>BSCA</w:t>
      </w:r>
      <w:r w:rsidR="00D02E62" w:rsidRPr="008245BD">
        <w:rPr>
          <w:rFonts w:ascii="Times New Roman" w:hAnsi="Times New Roman" w:cs="Times New Roman"/>
          <w:sz w:val="26"/>
          <w:szCs w:val="26"/>
          <w:lang w:val="en-US"/>
        </w:rPr>
        <w:t xml:space="preserve">'s </w:t>
      </w:r>
      <w:r>
        <w:rPr>
          <w:rFonts w:ascii="Times New Roman" w:hAnsi="Times New Roman" w:cs="Times New Roman"/>
          <w:sz w:val="26"/>
          <w:szCs w:val="26"/>
          <w:lang w:val="en-US"/>
        </w:rPr>
        <w:t>top</w:t>
      </w:r>
      <w:r w:rsidR="00D02E62" w:rsidRPr="008245BD">
        <w:rPr>
          <w:rFonts w:ascii="Times New Roman" w:hAnsi="Times New Roman" w:cs="Times New Roman"/>
          <w:sz w:val="26"/>
          <w:szCs w:val="26"/>
          <w:lang w:val="en-US"/>
        </w:rPr>
        <w:t xml:space="preserve"> management commits to impartiality by signing the "</w:t>
      </w:r>
      <w:r>
        <w:rPr>
          <w:rFonts w:ascii="Times New Roman" w:hAnsi="Times New Roman" w:cs="Times New Roman"/>
          <w:sz w:val="26"/>
          <w:szCs w:val="26"/>
          <w:lang w:val="en-US"/>
        </w:rPr>
        <w:t>Top</w:t>
      </w:r>
      <w:r w:rsidR="00D02E62" w:rsidRPr="008245BD">
        <w:rPr>
          <w:rFonts w:ascii="Times New Roman" w:hAnsi="Times New Roman" w:cs="Times New Roman"/>
          <w:sz w:val="26"/>
          <w:szCs w:val="26"/>
          <w:lang w:val="en-US"/>
        </w:rPr>
        <w:t xml:space="preserve"> Management Commitment".</w:t>
      </w:r>
    </w:p>
    <w:p w14:paraId="7B2F0EB5" w14:textId="6F90F36B" w:rsidR="00D02E62" w:rsidRPr="008245BD" w:rsidRDefault="00D02E62" w:rsidP="00D02E62">
      <w:pPr>
        <w:spacing w:before="60" w:after="0" w:line="240" w:lineRule="auto"/>
        <w:ind w:firstLine="708"/>
        <w:jc w:val="both"/>
        <w:rPr>
          <w:rFonts w:ascii="Times New Roman" w:hAnsi="Times New Roman" w:cs="Times New Roman"/>
          <w:sz w:val="26"/>
          <w:szCs w:val="26"/>
          <w:lang w:val="en-US"/>
        </w:rPr>
      </w:pPr>
      <w:r w:rsidRPr="008245BD">
        <w:rPr>
          <w:rFonts w:ascii="Times New Roman" w:hAnsi="Times New Roman" w:cs="Times New Roman"/>
          <w:sz w:val="26"/>
          <w:szCs w:val="26"/>
          <w:lang w:val="en-US"/>
        </w:rPr>
        <w:t xml:space="preserve">The </w:t>
      </w:r>
      <w:r w:rsidR="00B93E2A" w:rsidRPr="008245BD">
        <w:rPr>
          <w:rFonts w:ascii="Times New Roman" w:hAnsi="Times New Roman" w:cs="Times New Roman"/>
          <w:sz w:val="26"/>
          <w:szCs w:val="26"/>
          <w:lang w:val="en-US"/>
        </w:rPr>
        <w:t>BSCA</w:t>
      </w:r>
      <w:r w:rsidRPr="008245BD">
        <w:rPr>
          <w:rFonts w:ascii="Times New Roman" w:hAnsi="Times New Roman" w:cs="Times New Roman"/>
          <w:sz w:val="26"/>
          <w:szCs w:val="26"/>
          <w:lang w:val="en-US"/>
        </w:rPr>
        <w:t xml:space="preserve"> monitors the impartiality of accreditation activities and takes into account the results of the monitoring when developing policies and procedures for the BSCA management system. </w:t>
      </w:r>
    </w:p>
    <w:p w14:paraId="5754215A" w14:textId="5632C31D" w:rsidR="00D02E62" w:rsidRPr="008245BD" w:rsidRDefault="00D02E62" w:rsidP="00D02E62">
      <w:pPr>
        <w:spacing w:before="60" w:after="0" w:line="240" w:lineRule="auto"/>
        <w:ind w:firstLine="708"/>
        <w:jc w:val="both"/>
        <w:rPr>
          <w:rFonts w:ascii="Times New Roman" w:hAnsi="Times New Roman" w:cs="Times New Roman"/>
          <w:sz w:val="26"/>
          <w:szCs w:val="26"/>
          <w:lang w:val="en-US"/>
        </w:rPr>
      </w:pPr>
      <w:r w:rsidRPr="008245BD">
        <w:rPr>
          <w:rFonts w:ascii="Times New Roman" w:hAnsi="Times New Roman" w:cs="Times New Roman"/>
          <w:sz w:val="26"/>
          <w:szCs w:val="26"/>
          <w:lang w:val="en-US"/>
        </w:rPr>
        <w:t xml:space="preserve">The policies and procedures of the </w:t>
      </w:r>
      <w:r w:rsidR="00B93E2A" w:rsidRPr="008245BD">
        <w:rPr>
          <w:rFonts w:ascii="Times New Roman" w:hAnsi="Times New Roman" w:cs="Times New Roman"/>
          <w:sz w:val="26"/>
          <w:szCs w:val="26"/>
          <w:lang w:val="en-US"/>
        </w:rPr>
        <w:t>BSCA</w:t>
      </w:r>
      <w:r w:rsidRPr="008245BD">
        <w:rPr>
          <w:rFonts w:ascii="Times New Roman" w:hAnsi="Times New Roman" w:cs="Times New Roman"/>
          <w:sz w:val="26"/>
          <w:szCs w:val="26"/>
          <w:lang w:val="en-US"/>
        </w:rPr>
        <w:t xml:space="preserve"> and their management are non-discriminatory. </w:t>
      </w:r>
      <w:r w:rsidR="00B93E2A" w:rsidRPr="008245BD">
        <w:rPr>
          <w:rFonts w:ascii="Times New Roman" w:hAnsi="Times New Roman" w:cs="Times New Roman"/>
          <w:sz w:val="26"/>
          <w:szCs w:val="26"/>
          <w:lang w:val="en-US"/>
        </w:rPr>
        <w:t>BSCA</w:t>
      </w:r>
      <w:r w:rsidRPr="008245BD">
        <w:rPr>
          <w:rFonts w:ascii="Times New Roman" w:hAnsi="Times New Roman" w:cs="Times New Roman"/>
          <w:sz w:val="26"/>
          <w:szCs w:val="26"/>
          <w:lang w:val="en-US"/>
        </w:rPr>
        <w:t xml:space="preserve"> provides access to the current versions of documents establishing the requirements for the accreditation of conformity assessment bodies and the accreditation process on </w:t>
      </w:r>
      <w:r w:rsidR="00B93E2A" w:rsidRPr="008245BD">
        <w:rPr>
          <w:rFonts w:ascii="Times New Roman" w:hAnsi="Times New Roman"/>
          <w:sz w:val="26"/>
          <w:szCs w:val="26"/>
          <w:lang w:val="en-US"/>
        </w:rPr>
        <w:t xml:space="preserve">BSCA </w:t>
      </w:r>
      <w:r w:rsidRPr="008245BD">
        <w:rPr>
          <w:rFonts w:ascii="Times New Roman" w:hAnsi="Times New Roman"/>
          <w:sz w:val="26"/>
          <w:szCs w:val="26"/>
          <w:lang w:val="en-US"/>
        </w:rPr>
        <w:t xml:space="preserve">official website </w:t>
      </w:r>
      <w:hyperlink r:id="rId7" w:history="1">
        <w:r w:rsidRPr="008245BD">
          <w:rPr>
            <w:rStyle w:val="af0"/>
            <w:rFonts w:ascii="Times New Roman" w:hAnsi="Times New Roman"/>
            <w:b/>
            <w:sz w:val="26"/>
            <w:szCs w:val="26"/>
            <w:lang w:val="en-US"/>
          </w:rPr>
          <w:t>www.bsca.by</w:t>
        </w:r>
      </w:hyperlink>
      <w:r w:rsidRPr="008245BD">
        <w:rPr>
          <w:rFonts w:ascii="Times New Roman" w:hAnsi="Times New Roman" w:cs="Times New Roman"/>
          <w:sz w:val="26"/>
          <w:szCs w:val="26"/>
          <w:lang w:val="en-US"/>
        </w:rPr>
        <w:t>. The right of access to the services of the BSCA, the amount of payment and the terms of accreditation do not depend on the size of the conformity assessment body, its membership in any association, as well as on the number of already accredited conformity assessment bodies in the declared field of activity.</w:t>
      </w:r>
    </w:p>
    <w:p w14:paraId="51905BA0" w14:textId="4442BA53" w:rsidR="00D02E62" w:rsidRPr="008245BD" w:rsidRDefault="00B93E2A" w:rsidP="00D02E62">
      <w:pPr>
        <w:pStyle w:val="af1"/>
        <w:ind w:firstLine="708"/>
        <w:jc w:val="both"/>
        <w:rPr>
          <w:rFonts w:ascii="Times New Roman" w:hAnsi="Times New Roman"/>
          <w:sz w:val="26"/>
          <w:szCs w:val="26"/>
          <w:lang w:val="en-US"/>
        </w:rPr>
      </w:pPr>
      <w:r w:rsidRPr="008245BD">
        <w:rPr>
          <w:rFonts w:ascii="Times New Roman" w:hAnsi="Times New Roman"/>
          <w:sz w:val="26"/>
          <w:szCs w:val="26"/>
          <w:lang w:val="en-US"/>
        </w:rPr>
        <w:t>BSCA</w:t>
      </w:r>
      <w:r w:rsidR="00D02E62" w:rsidRPr="008245BD">
        <w:rPr>
          <w:rFonts w:ascii="Times New Roman" w:hAnsi="Times New Roman"/>
          <w:sz w:val="26"/>
          <w:szCs w:val="26"/>
          <w:lang w:val="en-US"/>
        </w:rPr>
        <w:t xml:space="preserve"> does not offer or provide any services that may cast doubt on the impartiality of accreditation activities:</w:t>
      </w:r>
    </w:p>
    <w:p w14:paraId="2A17F27A" w14:textId="77777777" w:rsidR="00D02E62" w:rsidRDefault="00D02E62" w:rsidP="00D02E62">
      <w:pPr>
        <w:pStyle w:val="af1"/>
        <w:numPr>
          <w:ilvl w:val="0"/>
          <w:numId w:val="10"/>
        </w:numPr>
        <w:tabs>
          <w:tab w:val="left" w:pos="1134"/>
        </w:tabs>
        <w:ind w:left="0" w:firstLine="709"/>
        <w:jc w:val="both"/>
        <w:rPr>
          <w:rFonts w:ascii="Times New Roman" w:hAnsi="Times New Roman"/>
          <w:sz w:val="26"/>
          <w:szCs w:val="26"/>
        </w:rPr>
      </w:pPr>
      <w:r w:rsidRPr="00F956AB">
        <w:rPr>
          <w:rFonts w:ascii="Times New Roman" w:hAnsi="Times New Roman"/>
          <w:sz w:val="26"/>
          <w:szCs w:val="26"/>
        </w:rPr>
        <w:t xml:space="preserve">conformity assessment activities; </w:t>
      </w:r>
    </w:p>
    <w:p w14:paraId="73BDF4A1" w14:textId="77777777" w:rsidR="00D02E62" w:rsidRPr="008245BD" w:rsidRDefault="00D02E62" w:rsidP="00D02E62">
      <w:pPr>
        <w:pStyle w:val="a3"/>
        <w:numPr>
          <w:ilvl w:val="0"/>
          <w:numId w:val="9"/>
        </w:numPr>
        <w:tabs>
          <w:tab w:val="left" w:pos="1134"/>
          <w:tab w:val="left" w:pos="1418"/>
        </w:tabs>
        <w:spacing w:before="60" w:after="0" w:line="240" w:lineRule="auto"/>
        <w:ind w:left="0" w:firstLine="709"/>
        <w:jc w:val="both"/>
        <w:rPr>
          <w:rFonts w:ascii="Times New Roman" w:hAnsi="Times New Roman" w:cs="Times New Roman"/>
          <w:sz w:val="26"/>
          <w:szCs w:val="26"/>
          <w:lang w:val="en-US"/>
        </w:rPr>
      </w:pPr>
      <w:r w:rsidRPr="008245BD">
        <w:rPr>
          <w:rFonts w:ascii="Times New Roman" w:hAnsi="Times New Roman" w:cs="Times New Roman"/>
          <w:sz w:val="26"/>
          <w:szCs w:val="26"/>
          <w:lang w:val="en-US"/>
        </w:rPr>
        <w:t xml:space="preserve">advising on accreditation or preparation for accreditation of conformity assessment bodies. </w:t>
      </w:r>
    </w:p>
    <w:p w14:paraId="595EBB2C" w14:textId="77777777" w:rsidR="00D02E62" w:rsidRPr="008245BD" w:rsidRDefault="00D02E62" w:rsidP="00D02E62">
      <w:pPr>
        <w:tabs>
          <w:tab w:val="left" w:pos="1418"/>
        </w:tabs>
        <w:rPr>
          <w:lang w:val="en-US"/>
        </w:rPr>
      </w:pPr>
      <w:r w:rsidRPr="008245BD">
        <w:rPr>
          <w:lang w:val="en-US"/>
        </w:rPr>
        <w:tab/>
      </w:r>
    </w:p>
    <w:p w14:paraId="223F7C66" w14:textId="74740686" w:rsidR="00D02E62" w:rsidRPr="008245BD" w:rsidRDefault="00D02E62" w:rsidP="00D02E62">
      <w:pPr>
        <w:tabs>
          <w:tab w:val="left" w:pos="709"/>
        </w:tabs>
        <w:spacing w:before="60" w:after="0" w:line="240" w:lineRule="auto"/>
        <w:jc w:val="both"/>
        <w:rPr>
          <w:rFonts w:ascii="Times New Roman" w:hAnsi="Times New Roman" w:cs="Times New Roman"/>
          <w:sz w:val="26"/>
          <w:szCs w:val="26"/>
          <w:lang w:val="en-US"/>
        </w:rPr>
      </w:pPr>
      <w:r w:rsidRPr="008245BD">
        <w:rPr>
          <w:rFonts w:ascii="Times New Roman" w:hAnsi="Times New Roman" w:cs="Times New Roman"/>
          <w:sz w:val="26"/>
          <w:szCs w:val="26"/>
          <w:lang w:val="en-US"/>
        </w:rPr>
        <w:tab/>
      </w:r>
      <w:r w:rsidR="00B93E2A" w:rsidRPr="008245BD">
        <w:rPr>
          <w:rFonts w:ascii="Times New Roman" w:hAnsi="Times New Roman" w:cs="Times New Roman"/>
          <w:sz w:val="26"/>
          <w:szCs w:val="26"/>
          <w:lang w:val="en-US"/>
        </w:rPr>
        <w:t>BSCA</w:t>
      </w:r>
      <w:r w:rsidRPr="008245BD">
        <w:rPr>
          <w:rFonts w:ascii="Times New Roman" w:hAnsi="Times New Roman" w:cs="Times New Roman"/>
          <w:sz w:val="26"/>
          <w:szCs w:val="26"/>
          <w:lang w:val="en-US"/>
        </w:rPr>
        <w:t xml:space="preserve"> performs the following functions, which are not considered a risk of impartiality:</w:t>
      </w:r>
    </w:p>
    <w:p w14:paraId="789420BB" w14:textId="222B3E77" w:rsidR="00D02E62" w:rsidRPr="008245BD" w:rsidRDefault="00D02E62" w:rsidP="00B93E2A">
      <w:pPr>
        <w:pStyle w:val="a3"/>
        <w:numPr>
          <w:ilvl w:val="0"/>
          <w:numId w:val="9"/>
        </w:numPr>
        <w:tabs>
          <w:tab w:val="left" w:pos="1134"/>
        </w:tabs>
        <w:spacing w:after="0" w:line="240" w:lineRule="auto"/>
        <w:ind w:left="0" w:firstLine="709"/>
        <w:jc w:val="both"/>
        <w:rPr>
          <w:rFonts w:ascii="Times New Roman" w:hAnsi="Times New Roman" w:cs="Times New Roman"/>
          <w:sz w:val="26"/>
          <w:szCs w:val="26"/>
          <w:lang w:val="en-US"/>
        </w:rPr>
      </w:pPr>
      <w:r w:rsidRPr="008245BD">
        <w:rPr>
          <w:rFonts w:ascii="Times New Roman" w:hAnsi="Times New Roman" w:cs="Times New Roman"/>
          <w:sz w:val="26"/>
          <w:szCs w:val="26"/>
          <w:lang w:val="en-US"/>
        </w:rPr>
        <w:t xml:space="preserve">organization and participation as lecturers in trainings and conferences, provided that the programs are limited to the provision of general information. </w:t>
      </w:r>
      <w:r w:rsidR="00B93E2A" w:rsidRPr="008245BD">
        <w:rPr>
          <w:rFonts w:ascii="Times New Roman" w:hAnsi="Times New Roman" w:cs="Times New Roman"/>
          <w:sz w:val="26"/>
          <w:szCs w:val="26"/>
          <w:lang w:val="en-US"/>
        </w:rPr>
        <w:t>BSCA</w:t>
      </w:r>
      <w:r w:rsidRPr="008245BD">
        <w:rPr>
          <w:rFonts w:ascii="Times New Roman" w:hAnsi="Times New Roman" w:cs="Times New Roman"/>
          <w:sz w:val="26"/>
          <w:szCs w:val="26"/>
          <w:lang w:val="en-US"/>
        </w:rPr>
        <w:t xml:space="preserve"> does </w:t>
      </w:r>
      <w:r w:rsidRPr="008245BD">
        <w:rPr>
          <w:rFonts w:ascii="Times New Roman" w:hAnsi="Times New Roman" w:cs="Times New Roman"/>
          <w:sz w:val="26"/>
          <w:szCs w:val="26"/>
          <w:lang w:val="en-US"/>
        </w:rPr>
        <w:lastRenderedPageBreak/>
        <w:t>not provide specific decisions to the conformity assessment body regarding the activities of this organization;</w:t>
      </w:r>
    </w:p>
    <w:p w14:paraId="65B8914E" w14:textId="14F70CF0" w:rsidR="00D02E62" w:rsidRPr="008245BD" w:rsidRDefault="00B93E2A" w:rsidP="00B93E2A">
      <w:pPr>
        <w:pStyle w:val="a3"/>
        <w:numPr>
          <w:ilvl w:val="0"/>
          <w:numId w:val="9"/>
        </w:numPr>
        <w:tabs>
          <w:tab w:val="left" w:pos="1134"/>
        </w:tabs>
        <w:spacing w:before="60"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i</w:t>
      </w:r>
      <w:r w:rsidR="00D02E62" w:rsidRPr="008245BD">
        <w:rPr>
          <w:rFonts w:ascii="Times New Roman" w:hAnsi="Times New Roman" w:cs="Times New Roman"/>
          <w:sz w:val="26"/>
          <w:szCs w:val="26"/>
          <w:lang w:val="en-US"/>
        </w:rPr>
        <w:t xml:space="preserve">mproving the effectiveness of the </w:t>
      </w:r>
      <w:r>
        <w:rPr>
          <w:rFonts w:ascii="Times New Roman" w:hAnsi="Times New Roman" w:cs="Times New Roman"/>
          <w:sz w:val="26"/>
          <w:szCs w:val="26"/>
          <w:lang w:val="en-US"/>
        </w:rPr>
        <w:t>assessment</w:t>
      </w:r>
      <w:r w:rsidR="00D02E62" w:rsidRPr="008245BD">
        <w:rPr>
          <w:rFonts w:ascii="Times New Roman" w:hAnsi="Times New Roman" w:cs="Times New Roman"/>
          <w:sz w:val="26"/>
          <w:szCs w:val="26"/>
          <w:lang w:val="en-US"/>
        </w:rPr>
        <w:t xml:space="preserve"> by identifying opportunities for improvement when they become apparent during the </w:t>
      </w:r>
      <w:r>
        <w:rPr>
          <w:rFonts w:ascii="Times New Roman" w:hAnsi="Times New Roman" w:cs="Times New Roman"/>
          <w:sz w:val="26"/>
          <w:szCs w:val="26"/>
          <w:lang w:val="en-US"/>
        </w:rPr>
        <w:t>assessment</w:t>
      </w:r>
      <w:r w:rsidR="00D02E62" w:rsidRPr="008245BD">
        <w:rPr>
          <w:rFonts w:ascii="Times New Roman" w:hAnsi="Times New Roman" w:cs="Times New Roman"/>
          <w:sz w:val="26"/>
          <w:szCs w:val="26"/>
          <w:lang w:val="en-US"/>
        </w:rPr>
        <w:t>, without recommending the specific solutions;</w:t>
      </w:r>
    </w:p>
    <w:p w14:paraId="74AB4269" w14:textId="77777777" w:rsidR="00D02E62" w:rsidRPr="008245BD" w:rsidRDefault="00D02E62" w:rsidP="00B93E2A">
      <w:pPr>
        <w:pStyle w:val="a3"/>
        <w:numPr>
          <w:ilvl w:val="0"/>
          <w:numId w:val="9"/>
        </w:numPr>
        <w:tabs>
          <w:tab w:val="left" w:pos="1134"/>
        </w:tabs>
        <w:spacing w:before="60" w:after="0" w:line="240" w:lineRule="auto"/>
        <w:ind w:left="0" w:firstLine="709"/>
        <w:jc w:val="both"/>
        <w:rPr>
          <w:rFonts w:ascii="Times New Roman" w:hAnsi="Times New Roman" w:cs="Times New Roman"/>
          <w:sz w:val="26"/>
          <w:szCs w:val="26"/>
          <w:lang w:val="en-US"/>
        </w:rPr>
      </w:pPr>
      <w:r w:rsidRPr="008245BD">
        <w:rPr>
          <w:rFonts w:ascii="Times New Roman" w:hAnsi="Times New Roman" w:cs="Times New Roman"/>
          <w:sz w:val="26"/>
          <w:szCs w:val="26"/>
          <w:lang w:val="en-US"/>
        </w:rPr>
        <w:t>advising other accreditation bodies on issues related to the accreditation process;</w:t>
      </w:r>
    </w:p>
    <w:p w14:paraId="691FB79E" w14:textId="77777777" w:rsidR="00D02E62" w:rsidRPr="008245BD" w:rsidRDefault="00D02E62" w:rsidP="00B93E2A">
      <w:pPr>
        <w:pStyle w:val="a3"/>
        <w:numPr>
          <w:ilvl w:val="0"/>
          <w:numId w:val="9"/>
        </w:numPr>
        <w:tabs>
          <w:tab w:val="left" w:pos="1134"/>
        </w:tabs>
        <w:spacing w:before="60" w:after="0" w:line="240" w:lineRule="auto"/>
        <w:ind w:left="0" w:firstLine="709"/>
        <w:jc w:val="both"/>
        <w:rPr>
          <w:rFonts w:ascii="Times New Roman" w:hAnsi="Times New Roman" w:cs="Times New Roman"/>
          <w:sz w:val="26"/>
          <w:szCs w:val="26"/>
          <w:lang w:val="en-US"/>
        </w:rPr>
      </w:pPr>
      <w:r w:rsidRPr="008245BD">
        <w:rPr>
          <w:rFonts w:ascii="Times New Roman" w:hAnsi="Times New Roman" w:cs="Times New Roman"/>
          <w:sz w:val="26"/>
          <w:szCs w:val="26"/>
          <w:lang w:val="en-US"/>
        </w:rPr>
        <w:t>advising scheme holders on issues related to accreditation requirements, including the requirements of relevant conformity assessment standards.</w:t>
      </w:r>
    </w:p>
    <w:p w14:paraId="00D423CF" w14:textId="3C76824E" w:rsidR="00D02E62" w:rsidRPr="008245BD" w:rsidRDefault="00B93E2A" w:rsidP="00D02E62">
      <w:pPr>
        <w:spacing w:before="60" w:after="0" w:line="240" w:lineRule="auto"/>
        <w:ind w:firstLine="708"/>
        <w:jc w:val="both"/>
        <w:rPr>
          <w:rFonts w:ascii="Times New Roman" w:hAnsi="Times New Roman" w:cs="Times New Roman"/>
          <w:sz w:val="26"/>
          <w:szCs w:val="26"/>
          <w:lang w:val="en-US"/>
        </w:rPr>
      </w:pPr>
      <w:r w:rsidRPr="008245BD">
        <w:rPr>
          <w:rFonts w:ascii="Times New Roman" w:hAnsi="Times New Roman" w:cs="Times New Roman"/>
          <w:sz w:val="26"/>
          <w:szCs w:val="26"/>
          <w:lang w:val="en-US"/>
        </w:rPr>
        <w:t>BSCA</w:t>
      </w:r>
      <w:r w:rsidR="00D02E62" w:rsidRPr="008245BD">
        <w:rPr>
          <w:rFonts w:ascii="Times New Roman" w:hAnsi="Times New Roman" w:cs="Times New Roman"/>
          <w:sz w:val="26"/>
          <w:szCs w:val="26"/>
          <w:lang w:val="en-US"/>
        </w:rPr>
        <w:t xml:space="preserve"> identifies threats to impartiality, analyzes, assesses, processes, monitors and documents on an ongoing basis the risks of impartiality, taking into account factors affecting the internal and external context of the organization. This process includes the identification of relevant stakeholders, the participation of balanced stakeholder representation without domination by any one party, and consultation with them on issues related to impartiality, including openness and public opinion. </w:t>
      </w:r>
    </w:p>
    <w:p w14:paraId="656E75E4" w14:textId="2971C081" w:rsidR="00D02E62" w:rsidRPr="008245BD" w:rsidRDefault="00B93E2A" w:rsidP="00D02E62">
      <w:pPr>
        <w:spacing w:before="60" w:after="0" w:line="240" w:lineRule="auto"/>
        <w:ind w:firstLine="708"/>
        <w:jc w:val="both"/>
        <w:rPr>
          <w:rFonts w:ascii="Times New Roman" w:hAnsi="Times New Roman" w:cs="Times New Roman"/>
          <w:sz w:val="26"/>
          <w:szCs w:val="26"/>
          <w:lang w:val="en-US"/>
        </w:rPr>
      </w:pPr>
      <w:r w:rsidRPr="008245BD">
        <w:rPr>
          <w:rFonts w:ascii="Times New Roman" w:hAnsi="Times New Roman" w:cs="Times New Roman"/>
          <w:sz w:val="26"/>
          <w:szCs w:val="26"/>
          <w:lang w:val="en-US"/>
        </w:rPr>
        <w:t>BSCA</w:t>
      </w:r>
      <w:r w:rsidR="00D02E62" w:rsidRPr="008245BD">
        <w:rPr>
          <w:rFonts w:ascii="Times New Roman" w:hAnsi="Times New Roman" w:cs="Times New Roman"/>
          <w:sz w:val="26"/>
          <w:szCs w:val="26"/>
          <w:lang w:val="en-US"/>
        </w:rPr>
        <w:t xml:space="preserve"> analyses any residual risk on an ongoing basis to determine whether it is at an acceptable level in order to plan and take timely actions to minimise or eliminate it if necessary (if the level of acceptability is exceeded). If it is not possible to eliminate or minimize the risk of impartiality to an acceptable level, accreditation will not be granted.</w:t>
      </w:r>
    </w:p>
    <w:p w14:paraId="59ADA6C9" w14:textId="77777777" w:rsidR="00D02E62" w:rsidRPr="008245BD" w:rsidRDefault="00D02E62" w:rsidP="00D02E62">
      <w:pPr>
        <w:spacing w:before="60" w:after="0" w:line="240" w:lineRule="auto"/>
        <w:ind w:firstLine="708"/>
        <w:jc w:val="both"/>
        <w:rPr>
          <w:rFonts w:ascii="Times New Roman" w:hAnsi="Times New Roman" w:cs="Times New Roman"/>
          <w:sz w:val="26"/>
          <w:szCs w:val="26"/>
          <w:lang w:val="en-US"/>
        </w:rPr>
      </w:pPr>
      <w:r w:rsidRPr="008245BD">
        <w:rPr>
          <w:rFonts w:ascii="Times New Roman" w:hAnsi="Times New Roman" w:cs="Times New Roman"/>
          <w:sz w:val="26"/>
          <w:szCs w:val="26"/>
          <w:lang w:val="en-US"/>
        </w:rPr>
        <w:t xml:space="preserve">The results of the analysis and actions to handle (manage) impartiality risks are reviewed annually as part of the management's review. </w:t>
      </w:r>
    </w:p>
    <w:p w14:paraId="75E45518" w14:textId="77777777" w:rsidR="00D02E62" w:rsidRPr="008245BD" w:rsidRDefault="00D02E62" w:rsidP="00D02E62">
      <w:pPr>
        <w:pStyle w:val="af1"/>
        <w:jc w:val="right"/>
        <w:rPr>
          <w:rFonts w:ascii="Times New Roman" w:hAnsi="Times New Roman"/>
          <w:sz w:val="26"/>
          <w:szCs w:val="26"/>
          <w:lang w:val="en-US"/>
        </w:rPr>
      </w:pPr>
    </w:p>
    <w:p w14:paraId="53A15F05" w14:textId="77777777" w:rsidR="00D02E62" w:rsidRPr="008245BD" w:rsidRDefault="00D02E62" w:rsidP="00D02E62">
      <w:pPr>
        <w:rPr>
          <w:lang w:val="en-US"/>
        </w:rPr>
      </w:pPr>
    </w:p>
    <w:p w14:paraId="70C732D5" w14:textId="77777777" w:rsidR="00D02E62" w:rsidRPr="008245BD" w:rsidRDefault="00D02E62" w:rsidP="00D02E62">
      <w:pPr>
        <w:rPr>
          <w:lang w:val="en-US"/>
        </w:rPr>
      </w:pPr>
    </w:p>
    <w:p w14:paraId="24F6046D" w14:textId="77777777" w:rsidR="00D02E62" w:rsidRPr="008245BD" w:rsidRDefault="00D02E62" w:rsidP="00D02E62">
      <w:pPr>
        <w:rPr>
          <w:lang w:val="en-US"/>
        </w:rPr>
      </w:pPr>
    </w:p>
    <w:p w14:paraId="0D148492" w14:textId="77777777" w:rsidR="00D02E62" w:rsidRPr="008245BD" w:rsidRDefault="00D02E62" w:rsidP="00D02E62">
      <w:pPr>
        <w:rPr>
          <w:lang w:val="en-US"/>
        </w:rPr>
      </w:pPr>
    </w:p>
    <w:p w14:paraId="78BBEB94" w14:textId="1896EE5B" w:rsidR="00091383" w:rsidRPr="008245BD" w:rsidRDefault="00091383" w:rsidP="00F25BE2">
      <w:pPr>
        <w:spacing w:after="0" w:line="240" w:lineRule="auto"/>
        <w:ind w:firstLine="709"/>
        <w:jc w:val="both"/>
        <w:rPr>
          <w:rFonts w:ascii="Times New Roman" w:hAnsi="Times New Roman" w:cs="Times New Roman"/>
          <w:i/>
          <w:iCs/>
          <w:sz w:val="28"/>
          <w:szCs w:val="24"/>
          <w:lang w:val="en-US"/>
        </w:rPr>
      </w:pPr>
    </w:p>
    <w:sectPr w:rsidR="00091383" w:rsidRPr="008245BD" w:rsidSect="00150ABC">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567"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C97C" w14:textId="77777777" w:rsidR="00113AA9" w:rsidRDefault="00113AA9" w:rsidP="00A6107F">
      <w:pPr>
        <w:spacing w:after="0" w:line="240" w:lineRule="auto"/>
      </w:pPr>
      <w:r>
        <w:separator/>
      </w:r>
    </w:p>
  </w:endnote>
  <w:endnote w:type="continuationSeparator" w:id="0">
    <w:p w14:paraId="528306C7" w14:textId="77777777" w:rsidR="00113AA9" w:rsidRDefault="00113AA9" w:rsidP="00A6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9FC8" w14:textId="77777777" w:rsidR="00B93E2A" w:rsidRDefault="00B93E2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04DB" w14:textId="24D03B59" w:rsidR="00BF7001" w:rsidRDefault="00BF7001" w:rsidP="006F4127">
    <w:pPr>
      <w:tabs>
        <w:tab w:val="left" w:pos="3183"/>
        <w:tab w:val="left" w:pos="4389"/>
        <w:tab w:val="left" w:pos="6665"/>
        <w:tab w:val="left" w:pos="7041"/>
        <w:tab w:val="left" w:pos="8415"/>
      </w:tabs>
      <w:spacing w:after="0" w:line="240" w:lineRule="auto"/>
      <w:rPr>
        <w:rFonts w:ascii="Times New Roman" w:hAnsi="Times New Roman" w:cs="Times New Roman"/>
        <w:sz w:val="18"/>
        <w:szCs w:val="18"/>
      </w:rPr>
    </w:pPr>
  </w:p>
  <w:tbl>
    <w:tblPr>
      <w:tblStyle w:val="af4"/>
      <w:tblW w:w="0" w:type="auto"/>
      <w:tblBorders>
        <w:left w:val="none" w:sz="0" w:space="0" w:color="auto"/>
        <w:bottom w:val="none" w:sz="0" w:space="0" w:color="auto"/>
        <w:right w:val="none" w:sz="0" w:space="0" w:color="auto"/>
      </w:tblBorders>
      <w:tblLook w:val="04A0" w:firstRow="1" w:lastRow="0" w:firstColumn="1" w:lastColumn="0" w:noHBand="0" w:noVBand="1"/>
    </w:tblPr>
    <w:tblGrid>
      <w:gridCol w:w="8075"/>
      <w:gridCol w:w="1270"/>
    </w:tblGrid>
    <w:tr w:rsidR="00BF7001" w14:paraId="15F14CEF" w14:textId="77777777" w:rsidTr="00BF7001">
      <w:tc>
        <w:tcPr>
          <w:tcW w:w="8075" w:type="dxa"/>
          <w:tcBorders>
            <w:bottom w:val="nil"/>
            <w:right w:val="nil"/>
          </w:tcBorders>
        </w:tcPr>
        <w:p w14:paraId="6DE46785" w14:textId="0545DBA0" w:rsidR="00BF7001" w:rsidRPr="00BF7001" w:rsidRDefault="00BF7001" w:rsidP="006F4127">
          <w:pPr>
            <w:tabs>
              <w:tab w:val="left" w:pos="3183"/>
              <w:tab w:val="left" w:pos="4389"/>
              <w:tab w:val="left" w:pos="6665"/>
              <w:tab w:val="left" w:pos="7041"/>
              <w:tab w:val="left" w:pos="8415"/>
            </w:tabs>
            <w:rPr>
              <w:rFonts w:ascii="Times New Roman" w:hAnsi="Times New Roman" w:cs="Times New Roman"/>
              <w:sz w:val="18"/>
              <w:szCs w:val="18"/>
            </w:rPr>
          </w:pPr>
          <w:r>
            <w:rPr>
              <w:rFonts w:ascii="Times New Roman" w:hAnsi="Times New Roman" w:cs="Times New Roman"/>
              <w:sz w:val="18"/>
              <w:szCs w:val="18"/>
            </w:rPr>
            <w:t>Revision 04 since 31.12.2021</w:t>
          </w:r>
        </w:p>
      </w:tc>
      <w:tc>
        <w:tcPr>
          <w:tcW w:w="1270" w:type="dxa"/>
          <w:tcBorders>
            <w:left w:val="nil"/>
          </w:tcBorders>
        </w:tcPr>
        <w:p w14:paraId="6E643926" w14:textId="6AE33F84" w:rsidR="00BF7001" w:rsidRDefault="00B93E2A" w:rsidP="006F4127">
          <w:pPr>
            <w:tabs>
              <w:tab w:val="left" w:pos="3183"/>
              <w:tab w:val="left" w:pos="4389"/>
              <w:tab w:val="left" w:pos="6665"/>
              <w:tab w:val="left" w:pos="7041"/>
              <w:tab w:val="left" w:pos="8415"/>
            </w:tabs>
          </w:pPr>
          <w:r>
            <w:rPr>
              <w:rFonts w:ascii="Times New Roman" w:hAnsi="Times New Roman" w:cs="Times New Roman"/>
              <w:sz w:val="18"/>
              <w:szCs w:val="18"/>
              <w:lang w:val="en-US"/>
            </w:rPr>
            <w:t>p</w:t>
          </w:r>
          <w:r w:rsidR="00BF7001">
            <w:rPr>
              <w:rFonts w:ascii="Times New Roman" w:hAnsi="Times New Roman" w:cs="Times New Roman"/>
              <w:sz w:val="18"/>
              <w:szCs w:val="18"/>
            </w:rPr>
            <w:t xml:space="preserve">age </w:t>
          </w:r>
          <w:r w:rsidR="00BF7001" w:rsidRPr="00A6107F">
            <w:rPr>
              <w:rFonts w:ascii="Times New Roman" w:hAnsi="Times New Roman" w:cs="Times New Roman"/>
              <w:sz w:val="18"/>
              <w:szCs w:val="18"/>
            </w:rPr>
            <w:fldChar w:fldCharType="begin"/>
          </w:r>
          <w:r w:rsidR="00BF7001" w:rsidRPr="00A6107F">
            <w:rPr>
              <w:rFonts w:ascii="Times New Roman" w:hAnsi="Times New Roman" w:cs="Times New Roman"/>
              <w:sz w:val="18"/>
              <w:szCs w:val="18"/>
            </w:rPr>
            <w:instrText xml:space="preserve"> PAGE </w:instrText>
          </w:r>
          <w:r w:rsidR="00BF7001" w:rsidRPr="00A6107F">
            <w:rPr>
              <w:rFonts w:ascii="Times New Roman" w:hAnsi="Times New Roman" w:cs="Times New Roman"/>
              <w:sz w:val="18"/>
              <w:szCs w:val="18"/>
            </w:rPr>
            <w:fldChar w:fldCharType="separate"/>
          </w:r>
          <w:r w:rsidR="00BF7001">
            <w:rPr>
              <w:rFonts w:ascii="Times New Roman" w:hAnsi="Times New Roman" w:cs="Times New Roman"/>
              <w:sz w:val="18"/>
              <w:szCs w:val="18"/>
            </w:rPr>
            <w:t>2</w:t>
          </w:r>
          <w:r w:rsidR="00BF7001" w:rsidRPr="00A6107F">
            <w:rPr>
              <w:rFonts w:ascii="Times New Roman" w:hAnsi="Times New Roman" w:cs="Times New Roman"/>
              <w:sz w:val="18"/>
              <w:szCs w:val="18"/>
            </w:rPr>
            <w:fldChar w:fldCharType="end"/>
          </w:r>
          <w:r w:rsidR="00BF7001" w:rsidRPr="00A6107F">
            <w:rPr>
              <w:rFonts w:ascii="Times New Roman" w:hAnsi="Times New Roman" w:cs="Times New Roman"/>
              <w:sz w:val="18"/>
              <w:szCs w:val="18"/>
            </w:rPr>
            <w:t xml:space="preserve"> </w:t>
          </w:r>
          <w:r>
            <w:rPr>
              <w:rFonts w:ascii="Times New Roman" w:hAnsi="Times New Roman" w:cs="Times New Roman"/>
              <w:sz w:val="18"/>
              <w:szCs w:val="18"/>
              <w:lang w:val="en-US"/>
            </w:rPr>
            <w:t>of</w:t>
          </w:r>
          <w:r w:rsidR="00BF7001" w:rsidRPr="00A6107F">
            <w:rPr>
              <w:rFonts w:ascii="Times New Roman" w:hAnsi="Times New Roman" w:cs="Times New Roman"/>
              <w:sz w:val="18"/>
              <w:szCs w:val="18"/>
            </w:rPr>
            <w:t xml:space="preserve"> </w:t>
          </w:r>
          <w:r w:rsidR="00BF7001" w:rsidRPr="00A6107F">
            <w:rPr>
              <w:rFonts w:ascii="Times New Roman" w:hAnsi="Times New Roman" w:cs="Times New Roman"/>
              <w:sz w:val="18"/>
              <w:szCs w:val="18"/>
            </w:rPr>
            <w:fldChar w:fldCharType="begin"/>
          </w:r>
          <w:r w:rsidR="00BF7001" w:rsidRPr="00A6107F">
            <w:rPr>
              <w:rFonts w:ascii="Times New Roman" w:hAnsi="Times New Roman" w:cs="Times New Roman"/>
              <w:sz w:val="18"/>
              <w:szCs w:val="18"/>
            </w:rPr>
            <w:instrText xml:space="preserve"> NUMPAGES </w:instrText>
          </w:r>
          <w:r w:rsidR="00BF7001" w:rsidRPr="00A6107F">
            <w:rPr>
              <w:rFonts w:ascii="Times New Roman" w:hAnsi="Times New Roman" w:cs="Times New Roman"/>
              <w:sz w:val="18"/>
              <w:szCs w:val="18"/>
            </w:rPr>
            <w:fldChar w:fldCharType="separate"/>
          </w:r>
          <w:r w:rsidR="00BF7001">
            <w:rPr>
              <w:rFonts w:ascii="Times New Roman" w:hAnsi="Times New Roman" w:cs="Times New Roman"/>
              <w:sz w:val="18"/>
              <w:szCs w:val="18"/>
            </w:rPr>
            <w:t>5</w:t>
          </w:r>
          <w:r w:rsidR="00BF7001" w:rsidRPr="00A6107F">
            <w:rPr>
              <w:rFonts w:ascii="Times New Roman" w:hAnsi="Times New Roman" w:cs="Times New Roman"/>
              <w:sz w:val="18"/>
              <w:szCs w:val="18"/>
            </w:rPr>
            <w:fldChar w:fldCharType="end"/>
          </w:r>
        </w:p>
      </w:tc>
    </w:tr>
  </w:tbl>
  <w:p w14:paraId="63818D7C" w14:textId="77777777" w:rsidR="00BF7001" w:rsidRPr="00BF7001" w:rsidRDefault="00BF7001" w:rsidP="006F4127">
    <w:pPr>
      <w:tabs>
        <w:tab w:val="left" w:pos="3183"/>
        <w:tab w:val="left" w:pos="4389"/>
        <w:tab w:val="left" w:pos="6665"/>
        <w:tab w:val="left" w:pos="7041"/>
        <w:tab w:val="left" w:pos="8415"/>
      </w:tabs>
      <w:spacing w:after="0"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6B5E" w14:textId="141F55BD" w:rsidR="00091383" w:rsidRPr="00091383" w:rsidRDefault="00CC0537" w:rsidP="00091383">
    <w:pPr>
      <w:jc w:val="center"/>
      <w:rPr>
        <w:rFonts w:ascii="Times New Roman" w:hAnsi="Times New Roman" w:cs="Times New Roman"/>
        <w:i/>
        <w:iCs/>
        <w:sz w:val="2"/>
        <w:szCs w:val="2"/>
      </w:rPr>
    </w:pPr>
    <w:r w:rsidRPr="00E00F00">
      <w:rPr>
        <w:rFonts w:ascii="Times New Roman" w:hAnsi="Times New Roman" w:cs="Times New Roman"/>
        <w:b/>
        <w:sz w:val="24"/>
        <w:szCs w:val="24"/>
      </w:rPr>
      <w:t>Minsk, 2021</w:t>
    </w:r>
    <w:r w:rsidR="00091383">
      <w:rPr>
        <w:rFonts w:ascii="Times New Roman" w:hAnsi="Times New Roman" w:cs="Times New Roman"/>
        <w:i/>
        <w:iCs/>
        <w:sz w:val="28"/>
        <w:szCs w:val="24"/>
      </w:rPr>
      <w:br w:type="pag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23497" w14:textId="77777777" w:rsidR="00113AA9" w:rsidRDefault="00113AA9" w:rsidP="00A6107F">
      <w:pPr>
        <w:spacing w:after="0" w:line="240" w:lineRule="auto"/>
      </w:pPr>
      <w:r>
        <w:separator/>
      </w:r>
    </w:p>
  </w:footnote>
  <w:footnote w:type="continuationSeparator" w:id="0">
    <w:p w14:paraId="647BA024" w14:textId="77777777" w:rsidR="00113AA9" w:rsidRDefault="00113AA9" w:rsidP="00A61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9C9C" w14:textId="77777777" w:rsidR="00B93E2A" w:rsidRDefault="00B93E2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4"/>
      <w:tblW w:w="0" w:type="auto"/>
      <w:tblBorders>
        <w:top w:val="none" w:sz="0" w:space="0" w:color="auto"/>
        <w:left w:val="none" w:sz="0" w:space="0" w:color="auto"/>
        <w:right w:val="none" w:sz="0" w:space="0" w:color="auto"/>
      </w:tblBorders>
      <w:tblLook w:val="04A0" w:firstRow="1" w:lastRow="0" w:firstColumn="1" w:lastColumn="0" w:noHBand="0" w:noVBand="1"/>
    </w:tblPr>
    <w:tblGrid>
      <w:gridCol w:w="988"/>
      <w:gridCol w:w="8357"/>
    </w:tblGrid>
    <w:tr w:rsidR="00BF7001" w14:paraId="0E2D9779" w14:textId="77777777" w:rsidTr="00BF7001">
      <w:tc>
        <w:tcPr>
          <w:tcW w:w="988" w:type="dxa"/>
          <w:tcBorders>
            <w:top w:val="nil"/>
            <w:right w:val="nil"/>
          </w:tcBorders>
        </w:tcPr>
        <w:p w14:paraId="2B744F0D" w14:textId="00737A1C" w:rsidR="00BF7001" w:rsidRDefault="00BF7001" w:rsidP="00150ABC">
          <w:pPr>
            <w:pStyle w:val="ab"/>
            <w:tabs>
              <w:tab w:val="left" w:pos="7797"/>
            </w:tabs>
            <w:spacing w:after="120"/>
            <w:rPr>
              <w:rFonts w:ascii="Times New Roman" w:hAnsi="Times New Roman" w:cs="Times New Roman"/>
              <w:b/>
              <w:sz w:val="20"/>
              <w:szCs w:val="20"/>
            </w:rPr>
          </w:pPr>
          <w:r>
            <w:rPr>
              <w:noProof/>
              <w:sz w:val="2"/>
              <w:szCs w:val="2"/>
              <w:lang w:eastAsia="ru-RU"/>
            </w:rPr>
            <w:drawing>
              <wp:inline distT="0" distB="0" distL="0" distR="0" wp14:anchorId="69203120" wp14:editId="1309983B">
                <wp:extent cx="253365" cy="314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 cy="314960"/>
                        </a:xfrm>
                        <a:prstGeom prst="rect">
                          <a:avLst/>
                        </a:prstGeom>
                        <a:noFill/>
                        <a:ln>
                          <a:noFill/>
                        </a:ln>
                      </pic:spPr>
                    </pic:pic>
                  </a:graphicData>
                </a:graphic>
              </wp:inline>
            </w:drawing>
          </w:r>
        </w:p>
      </w:tc>
      <w:tc>
        <w:tcPr>
          <w:tcW w:w="8357" w:type="dxa"/>
          <w:tcBorders>
            <w:left w:val="nil"/>
          </w:tcBorders>
        </w:tcPr>
        <w:p w14:paraId="3B2DDD80" w14:textId="77777777" w:rsidR="00BF7001" w:rsidRDefault="00BF7001" w:rsidP="00BF7001">
          <w:pPr>
            <w:pStyle w:val="ab"/>
            <w:tabs>
              <w:tab w:val="left" w:pos="7797"/>
            </w:tabs>
            <w:jc w:val="right"/>
            <w:rPr>
              <w:rFonts w:ascii="Times New Roman" w:hAnsi="Times New Roman" w:cs="Times New Roman"/>
              <w:b/>
            </w:rPr>
          </w:pPr>
        </w:p>
        <w:p w14:paraId="2809772C" w14:textId="305AA425" w:rsidR="00BF7001" w:rsidRPr="002E113D" w:rsidRDefault="00BF7001" w:rsidP="00BF7001">
          <w:pPr>
            <w:pStyle w:val="ab"/>
            <w:tabs>
              <w:tab w:val="left" w:pos="7797"/>
            </w:tabs>
            <w:jc w:val="right"/>
            <w:rPr>
              <w:rFonts w:ascii="Times New Roman" w:hAnsi="Times New Roman" w:cs="Times New Roman"/>
              <w:b/>
              <w:sz w:val="20"/>
              <w:szCs w:val="20"/>
              <w:lang w:val="en-US"/>
            </w:rPr>
          </w:pPr>
          <w:r w:rsidRPr="00C44879">
            <w:rPr>
              <w:rFonts w:ascii="Times New Roman" w:hAnsi="Times New Roman" w:cs="Times New Roman"/>
              <w:b/>
            </w:rPr>
            <w:t>PL SM 4.4-2021</w:t>
          </w:r>
        </w:p>
      </w:tc>
    </w:tr>
  </w:tbl>
  <w:p w14:paraId="14C0DA12" w14:textId="046AD4B9" w:rsidR="00783411" w:rsidRPr="006556AB" w:rsidRDefault="00783411" w:rsidP="00A6107F">
    <w:pPr>
      <w:pStyle w:val="ab"/>
      <w:tabs>
        <w:tab w:val="left" w:pos="7797"/>
      </w:tabs>
      <w:rPr>
        <w:rFonts w:ascii="Times New Roman" w:hAnsi="Times New Roman" w:cs="Times New Roman"/>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ayout w:type="fixed"/>
      <w:tblLook w:val="04A0" w:firstRow="1" w:lastRow="0" w:firstColumn="1" w:lastColumn="0" w:noHBand="0" w:noVBand="1"/>
    </w:tblPr>
    <w:tblGrid>
      <w:gridCol w:w="851"/>
      <w:gridCol w:w="8788"/>
    </w:tblGrid>
    <w:tr w:rsidR="00231D4C" w:rsidRPr="008245BD" w14:paraId="15AEA424" w14:textId="77777777" w:rsidTr="002B2409">
      <w:trPr>
        <w:trHeight w:val="711"/>
      </w:trPr>
      <w:tc>
        <w:tcPr>
          <w:tcW w:w="851" w:type="dxa"/>
          <w:tcBorders>
            <w:bottom w:val="threeDEmboss" w:sz="12" w:space="0" w:color="auto"/>
          </w:tcBorders>
          <w:hideMark/>
        </w:tcPr>
        <w:p w14:paraId="7B2A294C" w14:textId="77777777" w:rsidR="00231D4C" w:rsidRPr="00D25091" w:rsidRDefault="00231D4C" w:rsidP="00231D4C">
          <w:pPr>
            <w:pStyle w:val="af2"/>
            <w:keepNext/>
            <w:keepLines/>
            <w:jc w:val="right"/>
            <w:rPr>
              <w:rFonts w:ascii="Times New Roman" w:hAnsi="Times New Roman"/>
              <w:b/>
              <w:sz w:val="24"/>
              <w:szCs w:val="24"/>
            </w:rPr>
          </w:pPr>
          <w:r w:rsidRPr="00D25091">
            <w:rPr>
              <w:rFonts w:ascii="Times New Roman" w:hAnsi="Times New Roman"/>
              <w:b/>
              <w:noProof/>
              <w:sz w:val="24"/>
              <w:szCs w:val="24"/>
              <w:lang w:eastAsia="ru-RU"/>
            </w:rPr>
            <w:drawing>
              <wp:inline distT="0" distB="0" distL="0" distR="0" wp14:anchorId="7063A1AC" wp14:editId="393E28DD">
                <wp:extent cx="405765" cy="5137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 cy="513715"/>
                        </a:xfrm>
                        <a:prstGeom prst="rect">
                          <a:avLst/>
                        </a:prstGeom>
                        <a:noFill/>
                        <a:ln>
                          <a:noFill/>
                        </a:ln>
                      </pic:spPr>
                    </pic:pic>
                  </a:graphicData>
                </a:graphic>
              </wp:inline>
            </w:drawing>
          </w:r>
        </w:p>
      </w:tc>
      <w:tc>
        <w:tcPr>
          <w:tcW w:w="8788" w:type="dxa"/>
          <w:tcBorders>
            <w:bottom w:val="threeDEmboss" w:sz="12" w:space="0" w:color="auto"/>
          </w:tcBorders>
          <w:vAlign w:val="center"/>
        </w:tcPr>
        <w:p w14:paraId="1B7F41FF" w14:textId="77777777" w:rsidR="00231D4C" w:rsidRPr="008245BD" w:rsidRDefault="00231D4C" w:rsidP="00231D4C">
          <w:pPr>
            <w:pStyle w:val="af2"/>
            <w:keepNext/>
            <w:keepLines/>
            <w:jc w:val="center"/>
            <w:rPr>
              <w:rFonts w:ascii="Times New Roman" w:hAnsi="Times New Roman"/>
              <w:b/>
              <w:sz w:val="24"/>
              <w:szCs w:val="24"/>
              <w:lang w:val="en-US"/>
            </w:rPr>
          </w:pPr>
          <w:r w:rsidRPr="008245BD">
            <w:rPr>
              <w:rFonts w:ascii="Times New Roman" w:hAnsi="Times New Roman"/>
              <w:b/>
              <w:sz w:val="24"/>
              <w:szCs w:val="24"/>
              <w:lang w:val="en-US"/>
            </w:rPr>
            <w:t>REPUBLICAN UNITARY ENTERPRISE</w:t>
          </w:r>
        </w:p>
        <w:p w14:paraId="7C139100" w14:textId="77777777" w:rsidR="00231D4C" w:rsidRPr="008245BD" w:rsidRDefault="00231D4C" w:rsidP="00231D4C">
          <w:pPr>
            <w:pStyle w:val="af2"/>
            <w:keepNext/>
            <w:keepLines/>
            <w:jc w:val="center"/>
            <w:rPr>
              <w:rFonts w:ascii="Times New Roman" w:hAnsi="Times New Roman"/>
              <w:b/>
              <w:sz w:val="24"/>
              <w:szCs w:val="24"/>
              <w:lang w:val="en-US"/>
            </w:rPr>
          </w:pPr>
          <w:r w:rsidRPr="008245BD">
            <w:rPr>
              <w:rFonts w:ascii="Times New Roman" w:hAnsi="Times New Roman"/>
              <w:b/>
              <w:sz w:val="24"/>
              <w:szCs w:val="24"/>
              <w:lang w:val="en-US"/>
            </w:rPr>
            <w:t>"BELARUSIAN STATE ACCREDITATION CENTER"</w:t>
          </w:r>
        </w:p>
      </w:tc>
    </w:tr>
  </w:tbl>
  <w:p w14:paraId="67DBA55C" w14:textId="77777777" w:rsidR="00231D4C" w:rsidRPr="008245BD" w:rsidRDefault="00231D4C" w:rsidP="00231D4C">
    <w:pPr>
      <w:pStyle w:val="ab"/>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6263"/>
    <w:multiLevelType w:val="multilevel"/>
    <w:tmpl w:val="57EA1474"/>
    <w:lvl w:ilvl="0">
      <w:start w:val="1"/>
      <w:numFmt w:val="decimal"/>
      <w:lvlText w:val="%1"/>
      <w:lvlJc w:val="left"/>
      <w:pPr>
        <w:ind w:left="375" w:hanging="375"/>
      </w:pPr>
      <w:rPr>
        <w:rFonts w:hint="default"/>
      </w:rPr>
    </w:lvl>
    <w:lvl w:ilvl="1">
      <w:start w:val="7"/>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8794579"/>
    <w:multiLevelType w:val="hybridMultilevel"/>
    <w:tmpl w:val="79E22E8A"/>
    <w:lvl w:ilvl="0" w:tplc="1324CC84">
      <w:start w:val="3"/>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F243580"/>
    <w:multiLevelType w:val="hybridMultilevel"/>
    <w:tmpl w:val="6220EFE8"/>
    <w:lvl w:ilvl="0" w:tplc="195A12CC">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 w15:restartNumberingAfterBreak="0">
    <w:nsid w:val="34A43B79"/>
    <w:multiLevelType w:val="hybridMultilevel"/>
    <w:tmpl w:val="AFC21F3E"/>
    <w:lvl w:ilvl="0" w:tplc="A01E16E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5C46A6F"/>
    <w:multiLevelType w:val="multilevel"/>
    <w:tmpl w:val="D44AA106"/>
    <w:lvl w:ilvl="0">
      <w:start w:val="1"/>
      <w:numFmt w:val="decimal"/>
      <w:lvlText w:val="%1."/>
      <w:lvlJc w:val="left"/>
      <w:pPr>
        <w:ind w:left="1069" w:hanging="360"/>
      </w:pPr>
      <w:rPr>
        <w:b/>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4E3C2C7D"/>
    <w:multiLevelType w:val="hybridMultilevel"/>
    <w:tmpl w:val="06124464"/>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0B5B02"/>
    <w:multiLevelType w:val="hybridMultilevel"/>
    <w:tmpl w:val="2A3A6778"/>
    <w:lvl w:ilvl="0" w:tplc="A01E16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8DD23F8"/>
    <w:multiLevelType w:val="hybridMultilevel"/>
    <w:tmpl w:val="5C2C7E66"/>
    <w:lvl w:ilvl="0" w:tplc="E46A5522">
      <w:start w:val="3"/>
      <w:numFmt w:val="decimal"/>
      <w:lvlText w:val="%1"/>
      <w:lvlJc w:val="left"/>
      <w:pPr>
        <w:ind w:left="1080" w:hanging="360"/>
      </w:pPr>
      <w:rPr>
        <w:rFonts w:hint="default"/>
        <w:b/>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6DC56B3D"/>
    <w:multiLevelType w:val="hybridMultilevel"/>
    <w:tmpl w:val="9D64A402"/>
    <w:lvl w:ilvl="0" w:tplc="D7C2DAB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1B2039"/>
    <w:multiLevelType w:val="hybridMultilevel"/>
    <w:tmpl w:val="C032F468"/>
    <w:lvl w:ilvl="0" w:tplc="B2747BBE">
      <w:start w:val="1"/>
      <w:numFmt w:val="decimal"/>
      <w:lvlText w:val="2.%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75606854">
    <w:abstractNumId w:val="4"/>
  </w:num>
  <w:num w:numId="2" w16cid:durableId="857813422">
    <w:abstractNumId w:val="9"/>
  </w:num>
  <w:num w:numId="3" w16cid:durableId="1671836484">
    <w:abstractNumId w:val="8"/>
  </w:num>
  <w:num w:numId="4" w16cid:durableId="2128767782">
    <w:abstractNumId w:val="3"/>
  </w:num>
  <w:num w:numId="5" w16cid:durableId="555359511">
    <w:abstractNumId w:val="6"/>
  </w:num>
  <w:num w:numId="6" w16cid:durableId="1921136008">
    <w:abstractNumId w:val="1"/>
  </w:num>
  <w:num w:numId="7" w16cid:durableId="942035329">
    <w:abstractNumId w:val="7"/>
  </w:num>
  <w:num w:numId="8" w16cid:durableId="553005852">
    <w:abstractNumId w:val="0"/>
  </w:num>
  <w:num w:numId="9" w16cid:durableId="1457262025">
    <w:abstractNumId w:val="2"/>
  </w:num>
  <w:num w:numId="10" w16cid:durableId="141849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4C"/>
    <w:rsid w:val="000002CB"/>
    <w:rsid w:val="000015D6"/>
    <w:rsid w:val="0000444B"/>
    <w:rsid w:val="000073FC"/>
    <w:rsid w:val="00014089"/>
    <w:rsid w:val="00016602"/>
    <w:rsid w:val="00016E6F"/>
    <w:rsid w:val="00017ACC"/>
    <w:rsid w:val="000329D8"/>
    <w:rsid w:val="0004239F"/>
    <w:rsid w:val="000451E9"/>
    <w:rsid w:val="000564B8"/>
    <w:rsid w:val="00057C31"/>
    <w:rsid w:val="000647D5"/>
    <w:rsid w:val="00066198"/>
    <w:rsid w:val="000664CC"/>
    <w:rsid w:val="00074D30"/>
    <w:rsid w:val="00075957"/>
    <w:rsid w:val="0008178E"/>
    <w:rsid w:val="00082610"/>
    <w:rsid w:val="00084F27"/>
    <w:rsid w:val="00091383"/>
    <w:rsid w:val="000A3B81"/>
    <w:rsid w:val="000A443C"/>
    <w:rsid w:val="000C08D0"/>
    <w:rsid w:val="000D314C"/>
    <w:rsid w:val="000D51AC"/>
    <w:rsid w:val="000E2386"/>
    <w:rsid w:val="000E660E"/>
    <w:rsid w:val="000E6725"/>
    <w:rsid w:val="000F0919"/>
    <w:rsid w:val="001005C8"/>
    <w:rsid w:val="00112755"/>
    <w:rsid w:val="00113AA9"/>
    <w:rsid w:val="001145F6"/>
    <w:rsid w:val="00120D92"/>
    <w:rsid w:val="001212AF"/>
    <w:rsid w:val="00123A28"/>
    <w:rsid w:val="00124898"/>
    <w:rsid w:val="00126BF5"/>
    <w:rsid w:val="001303E7"/>
    <w:rsid w:val="0013169D"/>
    <w:rsid w:val="00141ABD"/>
    <w:rsid w:val="00150ABC"/>
    <w:rsid w:val="00151EAE"/>
    <w:rsid w:val="00153470"/>
    <w:rsid w:val="00165E30"/>
    <w:rsid w:val="00173EDE"/>
    <w:rsid w:val="00184332"/>
    <w:rsid w:val="001B4CAF"/>
    <w:rsid w:val="001D31D0"/>
    <w:rsid w:val="001F578B"/>
    <w:rsid w:val="00202C3C"/>
    <w:rsid w:val="00211227"/>
    <w:rsid w:val="00213F59"/>
    <w:rsid w:val="00231D4C"/>
    <w:rsid w:val="0023239C"/>
    <w:rsid w:val="00244243"/>
    <w:rsid w:val="00245971"/>
    <w:rsid w:val="0024673B"/>
    <w:rsid w:val="002527E6"/>
    <w:rsid w:val="002549D8"/>
    <w:rsid w:val="00262BBD"/>
    <w:rsid w:val="002653E7"/>
    <w:rsid w:val="00265BB5"/>
    <w:rsid w:val="00267BCB"/>
    <w:rsid w:val="00273290"/>
    <w:rsid w:val="00276F76"/>
    <w:rsid w:val="00286E9D"/>
    <w:rsid w:val="002A5D67"/>
    <w:rsid w:val="002B1D24"/>
    <w:rsid w:val="002B5A7A"/>
    <w:rsid w:val="002C6A64"/>
    <w:rsid w:val="002E07D1"/>
    <w:rsid w:val="002E113D"/>
    <w:rsid w:val="002F4AF5"/>
    <w:rsid w:val="00303B75"/>
    <w:rsid w:val="00307398"/>
    <w:rsid w:val="00333D55"/>
    <w:rsid w:val="0035606E"/>
    <w:rsid w:val="0036262A"/>
    <w:rsid w:val="0036536B"/>
    <w:rsid w:val="00381F0C"/>
    <w:rsid w:val="00385FA2"/>
    <w:rsid w:val="00394B88"/>
    <w:rsid w:val="0039649D"/>
    <w:rsid w:val="003A5065"/>
    <w:rsid w:val="003B7275"/>
    <w:rsid w:val="003E681D"/>
    <w:rsid w:val="003F0F7F"/>
    <w:rsid w:val="003F41AA"/>
    <w:rsid w:val="003F71BF"/>
    <w:rsid w:val="00401D40"/>
    <w:rsid w:val="0040309C"/>
    <w:rsid w:val="004035F4"/>
    <w:rsid w:val="00410FFC"/>
    <w:rsid w:val="00411CAD"/>
    <w:rsid w:val="00415C8F"/>
    <w:rsid w:val="00431412"/>
    <w:rsid w:val="00444D44"/>
    <w:rsid w:val="00475ABD"/>
    <w:rsid w:val="00487596"/>
    <w:rsid w:val="00495293"/>
    <w:rsid w:val="004B5A18"/>
    <w:rsid w:val="004C2BDE"/>
    <w:rsid w:val="004C3C2F"/>
    <w:rsid w:val="004D79A7"/>
    <w:rsid w:val="004E395C"/>
    <w:rsid w:val="004F3F1C"/>
    <w:rsid w:val="00511C70"/>
    <w:rsid w:val="00521D9C"/>
    <w:rsid w:val="00541EB5"/>
    <w:rsid w:val="00544C1D"/>
    <w:rsid w:val="00547B8D"/>
    <w:rsid w:val="005606ED"/>
    <w:rsid w:val="00570E0A"/>
    <w:rsid w:val="00575B08"/>
    <w:rsid w:val="00586BCE"/>
    <w:rsid w:val="005C0D56"/>
    <w:rsid w:val="005C1CDB"/>
    <w:rsid w:val="005D0B04"/>
    <w:rsid w:val="005D14F1"/>
    <w:rsid w:val="005D1881"/>
    <w:rsid w:val="005D3DEE"/>
    <w:rsid w:val="005E1FC0"/>
    <w:rsid w:val="005F7318"/>
    <w:rsid w:val="006038B1"/>
    <w:rsid w:val="006131E3"/>
    <w:rsid w:val="006137FB"/>
    <w:rsid w:val="00620C75"/>
    <w:rsid w:val="00640874"/>
    <w:rsid w:val="00642542"/>
    <w:rsid w:val="00646309"/>
    <w:rsid w:val="006556AB"/>
    <w:rsid w:val="00662B56"/>
    <w:rsid w:val="0067157B"/>
    <w:rsid w:val="00673B31"/>
    <w:rsid w:val="0067621D"/>
    <w:rsid w:val="00680CF0"/>
    <w:rsid w:val="006834EF"/>
    <w:rsid w:val="00695A36"/>
    <w:rsid w:val="006A1DC3"/>
    <w:rsid w:val="006B0D1D"/>
    <w:rsid w:val="006B4AD9"/>
    <w:rsid w:val="006C1D1C"/>
    <w:rsid w:val="006C6E14"/>
    <w:rsid w:val="006E3E30"/>
    <w:rsid w:val="006F1463"/>
    <w:rsid w:val="006F4127"/>
    <w:rsid w:val="006F5E0D"/>
    <w:rsid w:val="00705154"/>
    <w:rsid w:val="00722B3F"/>
    <w:rsid w:val="00731AB4"/>
    <w:rsid w:val="00734D2D"/>
    <w:rsid w:val="0073791C"/>
    <w:rsid w:val="0074646B"/>
    <w:rsid w:val="00746DA3"/>
    <w:rsid w:val="00765603"/>
    <w:rsid w:val="00772CCB"/>
    <w:rsid w:val="00780318"/>
    <w:rsid w:val="00783411"/>
    <w:rsid w:val="00795713"/>
    <w:rsid w:val="007B3D5F"/>
    <w:rsid w:val="007C6D80"/>
    <w:rsid w:val="007C7A44"/>
    <w:rsid w:val="007D3661"/>
    <w:rsid w:val="007D6345"/>
    <w:rsid w:val="007E163F"/>
    <w:rsid w:val="007E3CF6"/>
    <w:rsid w:val="007E72FD"/>
    <w:rsid w:val="007F600D"/>
    <w:rsid w:val="00802AB0"/>
    <w:rsid w:val="00821DDA"/>
    <w:rsid w:val="008245BD"/>
    <w:rsid w:val="00826081"/>
    <w:rsid w:val="00826DB8"/>
    <w:rsid w:val="00843549"/>
    <w:rsid w:val="00844C24"/>
    <w:rsid w:val="00845004"/>
    <w:rsid w:val="008519BE"/>
    <w:rsid w:val="0089589B"/>
    <w:rsid w:val="008A4C36"/>
    <w:rsid w:val="008B04C5"/>
    <w:rsid w:val="008B0C0B"/>
    <w:rsid w:val="008B311F"/>
    <w:rsid w:val="008B6352"/>
    <w:rsid w:val="008B737B"/>
    <w:rsid w:val="008C1A63"/>
    <w:rsid w:val="008D1818"/>
    <w:rsid w:val="008E0E58"/>
    <w:rsid w:val="008E6753"/>
    <w:rsid w:val="008F7004"/>
    <w:rsid w:val="00903992"/>
    <w:rsid w:val="009041F0"/>
    <w:rsid w:val="00912B12"/>
    <w:rsid w:val="009158B2"/>
    <w:rsid w:val="00923BC1"/>
    <w:rsid w:val="00933012"/>
    <w:rsid w:val="00937A8B"/>
    <w:rsid w:val="00940606"/>
    <w:rsid w:val="0094067C"/>
    <w:rsid w:val="00945B1F"/>
    <w:rsid w:val="00953CE9"/>
    <w:rsid w:val="00954EF5"/>
    <w:rsid w:val="009661D5"/>
    <w:rsid w:val="00976B28"/>
    <w:rsid w:val="00977AF6"/>
    <w:rsid w:val="00987EA9"/>
    <w:rsid w:val="009A1AAE"/>
    <w:rsid w:val="009A30B6"/>
    <w:rsid w:val="009A7E30"/>
    <w:rsid w:val="009B2D08"/>
    <w:rsid w:val="009B5368"/>
    <w:rsid w:val="009B5895"/>
    <w:rsid w:val="009C5101"/>
    <w:rsid w:val="009C540F"/>
    <w:rsid w:val="009D0DA7"/>
    <w:rsid w:val="009D30A1"/>
    <w:rsid w:val="009D6058"/>
    <w:rsid w:val="009D793A"/>
    <w:rsid w:val="009E0257"/>
    <w:rsid w:val="009E0D01"/>
    <w:rsid w:val="009E3AF8"/>
    <w:rsid w:val="009F0349"/>
    <w:rsid w:val="009F0AEB"/>
    <w:rsid w:val="009F1E34"/>
    <w:rsid w:val="009F4A86"/>
    <w:rsid w:val="009F6892"/>
    <w:rsid w:val="009F6E32"/>
    <w:rsid w:val="00A30F87"/>
    <w:rsid w:val="00A324FB"/>
    <w:rsid w:val="00A37C43"/>
    <w:rsid w:val="00A41820"/>
    <w:rsid w:val="00A4323F"/>
    <w:rsid w:val="00A463AB"/>
    <w:rsid w:val="00A51520"/>
    <w:rsid w:val="00A565F5"/>
    <w:rsid w:val="00A60352"/>
    <w:rsid w:val="00A6107F"/>
    <w:rsid w:val="00A61F1B"/>
    <w:rsid w:val="00A643CF"/>
    <w:rsid w:val="00A76874"/>
    <w:rsid w:val="00A836B0"/>
    <w:rsid w:val="00A83D5F"/>
    <w:rsid w:val="00A860DE"/>
    <w:rsid w:val="00A94CAA"/>
    <w:rsid w:val="00AA228B"/>
    <w:rsid w:val="00AA24F0"/>
    <w:rsid w:val="00AA42FD"/>
    <w:rsid w:val="00AB39A9"/>
    <w:rsid w:val="00AB41C3"/>
    <w:rsid w:val="00AC3287"/>
    <w:rsid w:val="00AF11D6"/>
    <w:rsid w:val="00AF416A"/>
    <w:rsid w:val="00B013AA"/>
    <w:rsid w:val="00B17903"/>
    <w:rsid w:val="00B3340D"/>
    <w:rsid w:val="00B43F36"/>
    <w:rsid w:val="00B46F89"/>
    <w:rsid w:val="00B656CE"/>
    <w:rsid w:val="00B7127F"/>
    <w:rsid w:val="00B73BC0"/>
    <w:rsid w:val="00B9252F"/>
    <w:rsid w:val="00B93E2A"/>
    <w:rsid w:val="00B94A51"/>
    <w:rsid w:val="00B97CC9"/>
    <w:rsid w:val="00BB197F"/>
    <w:rsid w:val="00BB460B"/>
    <w:rsid w:val="00BB4B8E"/>
    <w:rsid w:val="00BB720C"/>
    <w:rsid w:val="00BC0331"/>
    <w:rsid w:val="00BD76D4"/>
    <w:rsid w:val="00BD7FDA"/>
    <w:rsid w:val="00BE25F0"/>
    <w:rsid w:val="00BF169A"/>
    <w:rsid w:val="00BF2417"/>
    <w:rsid w:val="00BF7001"/>
    <w:rsid w:val="00C0039E"/>
    <w:rsid w:val="00C027CC"/>
    <w:rsid w:val="00C03AB5"/>
    <w:rsid w:val="00C15519"/>
    <w:rsid w:val="00C200CA"/>
    <w:rsid w:val="00C306D1"/>
    <w:rsid w:val="00C35AB9"/>
    <w:rsid w:val="00C417E9"/>
    <w:rsid w:val="00C5764F"/>
    <w:rsid w:val="00C63D31"/>
    <w:rsid w:val="00C714C6"/>
    <w:rsid w:val="00C8156C"/>
    <w:rsid w:val="00C829ED"/>
    <w:rsid w:val="00C87BED"/>
    <w:rsid w:val="00C91D02"/>
    <w:rsid w:val="00CA2B92"/>
    <w:rsid w:val="00CA3530"/>
    <w:rsid w:val="00CA4D9D"/>
    <w:rsid w:val="00CB4ABD"/>
    <w:rsid w:val="00CC0537"/>
    <w:rsid w:val="00CC5BD7"/>
    <w:rsid w:val="00CD01AA"/>
    <w:rsid w:val="00CD2141"/>
    <w:rsid w:val="00CE5727"/>
    <w:rsid w:val="00CF3CFA"/>
    <w:rsid w:val="00CF5855"/>
    <w:rsid w:val="00D02E62"/>
    <w:rsid w:val="00D03169"/>
    <w:rsid w:val="00D103FD"/>
    <w:rsid w:val="00D1209B"/>
    <w:rsid w:val="00D21164"/>
    <w:rsid w:val="00D2353C"/>
    <w:rsid w:val="00D23CB5"/>
    <w:rsid w:val="00D31815"/>
    <w:rsid w:val="00D331BD"/>
    <w:rsid w:val="00D363C6"/>
    <w:rsid w:val="00D44A14"/>
    <w:rsid w:val="00D50420"/>
    <w:rsid w:val="00D62013"/>
    <w:rsid w:val="00D63FCA"/>
    <w:rsid w:val="00D710C2"/>
    <w:rsid w:val="00D72799"/>
    <w:rsid w:val="00D77B78"/>
    <w:rsid w:val="00D81512"/>
    <w:rsid w:val="00D93BB7"/>
    <w:rsid w:val="00D95DD7"/>
    <w:rsid w:val="00DA5A87"/>
    <w:rsid w:val="00DB0127"/>
    <w:rsid w:val="00DB53DB"/>
    <w:rsid w:val="00DB5CA4"/>
    <w:rsid w:val="00DC5F48"/>
    <w:rsid w:val="00DE0ECD"/>
    <w:rsid w:val="00DE2DE8"/>
    <w:rsid w:val="00DE5C87"/>
    <w:rsid w:val="00DF718B"/>
    <w:rsid w:val="00E11EB0"/>
    <w:rsid w:val="00E1329F"/>
    <w:rsid w:val="00E13F5B"/>
    <w:rsid w:val="00E2195E"/>
    <w:rsid w:val="00E22729"/>
    <w:rsid w:val="00E22946"/>
    <w:rsid w:val="00E23928"/>
    <w:rsid w:val="00E3181A"/>
    <w:rsid w:val="00E432F5"/>
    <w:rsid w:val="00E53F7E"/>
    <w:rsid w:val="00E57DBB"/>
    <w:rsid w:val="00E850B7"/>
    <w:rsid w:val="00E90F3D"/>
    <w:rsid w:val="00EA4A23"/>
    <w:rsid w:val="00EC77C9"/>
    <w:rsid w:val="00EE065E"/>
    <w:rsid w:val="00F0696D"/>
    <w:rsid w:val="00F25BE2"/>
    <w:rsid w:val="00F30F36"/>
    <w:rsid w:val="00F32BA2"/>
    <w:rsid w:val="00F37D7C"/>
    <w:rsid w:val="00F40A5D"/>
    <w:rsid w:val="00F41114"/>
    <w:rsid w:val="00F43B08"/>
    <w:rsid w:val="00F52001"/>
    <w:rsid w:val="00F61523"/>
    <w:rsid w:val="00F621A0"/>
    <w:rsid w:val="00F65EA8"/>
    <w:rsid w:val="00F67241"/>
    <w:rsid w:val="00F8105D"/>
    <w:rsid w:val="00F93FBD"/>
    <w:rsid w:val="00F95F0F"/>
    <w:rsid w:val="00FA1026"/>
    <w:rsid w:val="00FB2BFB"/>
    <w:rsid w:val="00FB6F7D"/>
    <w:rsid w:val="00FE3150"/>
    <w:rsid w:val="00FF7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DF71E"/>
  <w15:docId w15:val="{F57EC82D-E84C-4D89-BD67-9AC8D853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2E11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14C"/>
    <w:pPr>
      <w:ind w:left="720"/>
      <w:contextualSpacing/>
    </w:pPr>
  </w:style>
  <w:style w:type="paragraph" w:styleId="a4">
    <w:name w:val="Balloon Text"/>
    <w:basedOn w:val="a"/>
    <w:link w:val="a5"/>
    <w:uiPriority w:val="99"/>
    <w:semiHidden/>
    <w:unhideWhenUsed/>
    <w:rsid w:val="008958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589B"/>
    <w:rPr>
      <w:rFonts w:ascii="Tahoma" w:hAnsi="Tahoma" w:cs="Tahoma"/>
      <w:sz w:val="16"/>
      <w:szCs w:val="16"/>
    </w:rPr>
  </w:style>
  <w:style w:type="character" w:styleId="a6">
    <w:name w:val="annotation reference"/>
    <w:basedOn w:val="a0"/>
    <w:uiPriority w:val="99"/>
    <w:semiHidden/>
    <w:unhideWhenUsed/>
    <w:rsid w:val="00C15519"/>
    <w:rPr>
      <w:sz w:val="16"/>
      <w:szCs w:val="16"/>
    </w:rPr>
  </w:style>
  <w:style w:type="paragraph" w:styleId="a7">
    <w:name w:val="annotation text"/>
    <w:basedOn w:val="a"/>
    <w:link w:val="a8"/>
    <w:uiPriority w:val="99"/>
    <w:semiHidden/>
    <w:unhideWhenUsed/>
    <w:rsid w:val="00C15519"/>
    <w:pPr>
      <w:spacing w:line="240" w:lineRule="auto"/>
    </w:pPr>
    <w:rPr>
      <w:sz w:val="20"/>
      <w:szCs w:val="20"/>
    </w:rPr>
  </w:style>
  <w:style w:type="character" w:customStyle="1" w:styleId="a8">
    <w:name w:val="Текст примечания Знак"/>
    <w:basedOn w:val="a0"/>
    <w:link w:val="a7"/>
    <w:uiPriority w:val="99"/>
    <w:semiHidden/>
    <w:rsid w:val="00C15519"/>
    <w:rPr>
      <w:sz w:val="20"/>
      <w:szCs w:val="20"/>
    </w:rPr>
  </w:style>
  <w:style w:type="paragraph" w:styleId="a9">
    <w:name w:val="annotation subject"/>
    <w:basedOn w:val="a7"/>
    <w:next w:val="a7"/>
    <w:link w:val="aa"/>
    <w:uiPriority w:val="99"/>
    <w:semiHidden/>
    <w:unhideWhenUsed/>
    <w:rsid w:val="00C15519"/>
    <w:rPr>
      <w:b/>
      <w:bCs/>
    </w:rPr>
  </w:style>
  <w:style w:type="character" w:customStyle="1" w:styleId="aa">
    <w:name w:val="Тема примечания Знак"/>
    <w:basedOn w:val="a8"/>
    <w:link w:val="a9"/>
    <w:uiPriority w:val="99"/>
    <w:semiHidden/>
    <w:rsid w:val="00C15519"/>
    <w:rPr>
      <w:b/>
      <w:bCs/>
      <w:sz w:val="20"/>
      <w:szCs w:val="20"/>
    </w:rPr>
  </w:style>
  <w:style w:type="paragraph" w:styleId="ab">
    <w:name w:val="header"/>
    <w:basedOn w:val="a"/>
    <w:link w:val="ac"/>
    <w:uiPriority w:val="99"/>
    <w:unhideWhenUsed/>
    <w:rsid w:val="00A6107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6107F"/>
  </w:style>
  <w:style w:type="paragraph" w:styleId="ad">
    <w:name w:val="footer"/>
    <w:basedOn w:val="a"/>
    <w:link w:val="ae"/>
    <w:uiPriority w:val="99"/>
    <w:unhideWhenUsed/>
    <w:rsid w:val="00A610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6107F"/>
  </w:style>
  <w:style w:type="paragraph" w:styleId="af">
    <w:name w:val="Normal (Web)"/>
    <w:basedOn w:val="a"/>
    <w:uiPriority w:val="99"/>
    <w:semiHidden/>
    <w:unhideWhenUsed/>
    <w:rsid w:val="005E1FC0"/>
    <w:rPr>
      <w:rFonts w:ascii="Times New Roman" w:hAnsi="Times New Roman" w:cs="Times New Roman"/>
      <w:sz w:val="24"/>
      <w:szCs w:val="24"/>
    </w:rPr>
  </w:style>
  <w:style w:type="character" w:customStyle="1" w:styleId="fontstyle01">
    <w:name w:val="fontstyle01"/>
    <w:basedOn w:val="a0"/>
    <w:rsid w:val="000015D6"/>
    <w:rPr>
      <w:rFonts w:ascii="TimesNewRomanPSMT" w:hAnsi="TimesNewRomanPSMT" w:hint="default"/>
      <w:b w:val="0"/>
      <w:bCs w:val="0"/>
      <w:i w:val="0"/>
      <w:iCs w:val="0"/>
      <w:color w:val="000000"/>
      <w:sz w:val="24"/>
      <w:szCs w:val="24"/>
    </w:rPr>
  </w:style>
  <w:style w:type="character" w:customStyle="1" w:styleId="fontstyle21">
    <w:name w:val="fontstyle21"/>
    <w:basedOn w:val="a0"/>
    <w:rsid w:val="000E6725"/>
    <w:rPr>
      <w:rFonts w:ascii="TimesNewRomanPS-BoldMT" w:hAnsi="TimesNewRomanPS-BoldMT" w:hint="default"/>
      <w:b/>
      <w:bCs/>
      <w:i w:val="0"/>
      <w:iCs w:val="0"/>
      <w:color w:val="000000"/>
      <w:sz w:val="28"/>
      <w:szCs w:val="28"/>
    </w:rPr>
  </w:style>
  <w:style w:type="character" w:styleId="af0">
    <w:name w:val="Hyperlink"/>
    <w:basedOn w:val="a0"/>
    <w:uiPriority w:val="99"/>
    <w:semiHidden/>
    <w:unhideWhenUsed/>
    <w:rsid w:val="00303B75"/>
    <w:rPr>
      <w:color w:val="0000FF"/>
      <w:u w:val="single"/>
    </w:rPr>
  </w:style>
  <w:style w:type="paragraph" w:styleId="af1">
    <w:name w:val="No Spacing"/>
    <w:uiPriority w:val="1"/>
    <w:qFormat/>
    <w:rsid w:val="00231D4C"/>
    <w:pPr>
      <w:spacing w:after="0" w:line="240" w:lineRule="auto"/>
    </w:pPr>
    <w:rPr>
      <w:rFonts w:ascii="Calibri" w:eastAsia="Calibri" w:hAnsi="Calibri" w:cs="Times New Roman"/>
    </w:rPr>
  </w:style>
  <w:style w:type="paragraph" w:styleId="af2">
    <w:name w:val="Plain Text"/>
    <w:basedOn w:val="a"/>
    <w:link w:val="af3"/>
    <w:rsid w:val="00231D4C"/>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231D4C"/>
    <w:rPr>
      <w:rFonts w:ascii="Courier New" w:eastAsia="Times New Roman" w:hAnsi="Courier New" w:cs="Times New Roman"/>
      <w:sz w:val="20"/>
      <w:szCs w:val="20"/>
    </w:rPr>
  </w:style>
  <w:style w:type="table" w:styleId="af4">
    <w:name w:val="Table Grid"/>
    <w:basedOn w:val="a1"/>
    <w:uiPriority w:val="59"/>
    <w:rsid w:val="00BF7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ormal">
    <w:name w:val="p-normal"/>
    <w:basedOn w:val="a"/>
    <w:rsid w:val="00844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844C24"/>
  </w:style>
  <w:style w:type="character" w:customStyle="1" w:styleId="fake-non-breaking-space">
    <w:name w:val="fake-non-breaking-space"/>
    <w:basedOn w:val="a0"/>
    <w:rsid w:val="00844C24"/>
  </w:style>
  <w:style w:type="character" w:customStyle="1" w:styleId="colorff00ff">
    <w:name w:val="color__ff00ff"/>
    <w:basedOn w:val="a0"/>
    <w:rsid w:val="00844C24"/>
  </w:style>
  <w:style w:type="character" w:customStyle="1" w:styleId="40">
    <w:name w:val="Заголовок 4 Знак"/>
    <w:basedOn w:val="a0"/>
    <w:link w:val="4"/>
    <w:uiPriority w:val="9"/>
    <w:rsid w:val="002E113D"/>
    <w:rPr>
      <w:rFonts w:ascii="Times New Roman" w:eastAsia="Times New Roman" w:hAnsi="Times New Roman" w:cs="Times New Roman"/>
      <w:b/>
      <w:bCs/>
      <w:sz w:val="24"/>
      <w:szCs w:val="24"/>
    </w:rPr>
  </w:style>
  <w:style w:type="character" w:styleId="af5">
    <w:name w:val="Placeholder Text"/>
    <w:basedOn w:val="a0"/>
    <w:uiPriority w:val="99"/>
    <w:semiHidden/>
    <w:rsid w:val="00C200C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6831">
      <w:bodyDiv w:val="1"/>
      <w:marLeft w:val="0"/>
      <w:marRight w:val="0"/>
      <w:marTop w:val="0"/>
      <w:marBottom w:val="0"/>
      <w:divBdr>
        <w:top w:val="none" w:sz="0" w:space="0" w:color="auto"/>
        <w:left w:val="none" w:sz="0" w:space="0" w:color="auto"/>
        <w:bottom w:val="none" w:sz="0" w:space="0" w:color="auto"/>
        <w:right w:val="none" w:sz="0" w:space="0" w:color="auto"/>
      </w:divBdr>
      <w:divsChild>
        <w:div w:id="130364761">
          <w:marLeft w:val="0"/>
          <w:marRight w:val="0"/>
          <w:marTop w:val="0"/>
          <w:marBottom w:val="0"/>
          <w:divBdr>
            <w:top w:val="none" w:sz="0" w:space="0" w:color="auto"/>
            <w:left w:val="none" w:sz="0" w:space="0" w:color="auto"/>
            <w:bottom w:val="none" w:sz="0" w:space="0" w:color="auto"/>
            <w:right w:val="none" w:sz="0" w:space="0" w:color="auto"/>
          </w:divBdr>
        </w:div>
        <w:div w:id="1051539533">
          <w:marLeft w:val="0"/>
          <w:marRight w:val="0"/>
          <w:marTop w:val="225"/>
          <w:marBottom w:val="225"/>
          <w:divBdr>
            <w:top w:val="none" w:sz="0" w:space="0" w:color="auto"/>
            <w:left w:val="single" w:sz="18" w:space="26" w:color="00BCD6"/>
            <w:bottom w:val="none" w:sz="0" w:space="0" w:color="auto"/>
            <w:right w:val="none" w:sz="0" w:space="0" w:color="auto"/>
          </w:divBdr>
        </w:div>
      </w:divsChild>
    </w:div>
    <w:div w:id="651831878">
      <w:bodyDiv w:val="1"/>
      <w:marLeft w:val="0"/>
      <w:marRight w:val="0"/>
      <w:marTop w:val="0"/>
      <w:marBottom w:val="0"/>
      <w:divBdr>
        <w:top w:val="none" w:sz="0" w:space="0" w:color="auto"/>
        <w:left w:val="none" w:sz="0" w:space="0" w:color="auto"/>
        <w:bottom w:val="none" w:sz="0" w:space="0" w:color="auto"/>
        <w:right w:val="none" w:sz="0" w:space="0" w:color="auto"/>
      </w:divBdr>
    </w:div>
    <w:div w:id="1054040959">
      <w:bodyDiv w:val="1"/>
      <w:marLeft w:val="0"/>
      <w:marRight w:val="0"/>
      <w:marTop w:val="0"/>
      <w:marBottom w:val="0"/>
      <w:divBdr>
        <w:top w:val="none" w:sz="0" w:space="0" w:color="auto"/>
        <w:left w:val="none" w:sz="0" w:space="0" w:color="auto"/>
        <w:bottom w:val="none" w:sz="0" w:space="0" w:color="auto"/>
        <w:right w:val="none" w:sz="0" w:space="0" w:color="auto"/>
      </w:divBdr>
      <w:divsChild>
        <w:div w:id="335809427">
          <w:marLeft w:val="0"/>
          <w:marRight w:val="0"/>
          <w:marTop w:val="0"/>
          <w:marBottom w:val="0"/>
          <w:divBdr>
            <w:top w:val="none" w:sz="0" w:space="0" w:color="auto"/>
            <w:left w:val="none" w:sz="0" w:space="0" w:color="auto"/>
            <w:bottom w:val="none" w:sz="0" w:space="0" w:color="auto"/>
            <w:right w:val="none" w:sz="0" w:space="0" w:color="auto"/>
          </w:divBdr>
        </w:div>
        <w:div w:id="385448156">
          <w:marLeft w:val="0"/>
          <w:marRight w:val="0"/>
          <w:marTop w:val="225"/>
          <w:marBottom w:val="225"/>
          <w:divBdr>
            <w:top w:val="none" w:sz="0" w:space="0" w:color="auto"/>
            <w:left w:val="single" w:sz="18" w:space="26" w:color="00BCD6"/>
            <w:bottom w:val="none" w:sz="0" w:space="0" w:color="auto"/>
            <w:right w:val="none" w:sz="0" w:space="0" w:color="auto"/>
          </w:divBdr>
        </w:div>
      </w:divsChild>
    </w:div>
    <w:div w:id="20368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sca.b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695</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Государственное предприятие "БГЦА"</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Демидов Илья Васильевич</dc:creator>
  <cp:lastModifiedBy>Томшис Ольга Владимировна</cp:lastModifiedBy>
  <cp:revision>3</cp:revision>
  <cp:lastPrinted>2021-05-14T12:36:00Z</cp:lastPrinted>
  <dcterms:created xsi:type="dcterms:W3CDTF">2022-09-30T15:57:00Z</dcterms:created>
  <dcterms:modified xsi:type="dcterms:W3CDTF">2024-01-25T10:40:00Z</dcterms:modified>
</cp:coreProperties>
</file>