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3137" w14:textId="77777777" w:rsidR="00617E97" w:rsidRDefault="00617E97" w:rsidP="00FC1F25">
      <w:pPr>
        <w:spacing w:after="40"/>
        <w:ind w:right="49"/>
        <w:jc w:val="center"/>
        <w:rPr>
          <w:rFonts w:ascii="Times New Roman" w:hAnsi="Times New Roman"/>
          <w:b/>
          <w:sz w:val="26"/>
          <w:szCs w:val="26"/>
        </w:rPr>
      </w:pPr>
    </w:p>
    <w:p w14:paraId="05CAE14D" w14:textId="77777777" w:rsidR="00B1729F" w:rsidRDefault="00B1729F" w:rsidP="00FC1F25">
      <w:pPr>
        <w:spacing w:after="40"/>
        <w:ind w:right="49"/>
        <w:jc w:val="center"/>
        <w:rPr>
          <w:rFonts w:ascii="Times New Roman" w:hAnsi="Times New Roman"/>
          <w:b/>
          <w:sz w:val="26"/>
          <w:szCs w:val="26"/>
        </w:rPr>
      </w:pPr>
    </w:p>
    <w:p w14:paraId="5332040A" w14:textId="77777777" w:rsidR="00B1729F" w:rsidRDefault="00E71DC1" w:rsidP="00E71DC1">
      <w:pPr>
        <w:tabs>
          <w:tab w:val="left" w:pos="8130"/>
        </w:tabs>
        <w:spacing w:after="40"/>
        <w:ind w:right="49"/>
        <w:rPr>
          <w:rFonts w:ascii="Times New Roman" w:hAnsi="Times New Roman"/>
          <w:b/>
          <w:sz w:val="26"/>
          <w:szCs w:val="26"/>
        </w:rPr>
      </w:pPr>
      <w:r>
        <w:rPr>
          <w:rFonts w:ascii="Times New Roman" w:hAnsi="Times New Roman"/>
          <w:b/>
          <w:sz w:val="26"/>
          <w:szCs w:val="26"/>
        </w:rPr>
        <w:tab/>
      </w:r>
    </w:p>
    <w:p w14:paraId="40D1CEE5" w14:textId="77777777" w:rsidR="00B1729F" w:rsidRDefault="00B1729F" w:rsidP="00FC1F25">
      <w:pPr>
        <w:spacing w:after="40"/>
        <w:ind w:right="49"/>
        <w:jc w:val="center"/>
        <w:rPr>
          <w:rFonts w:ascii="Times New Roman" w:hAnsi="Times New Roman"/>
          <w:b/>
          <w:sz w:val="26"/>
          <w:szCs w:val="26"/>
        </w:rPr>
      </w:pPr>
    </w:p>
    <w:p w14:paraId="4BFB0A2C" w14:textId="77777777" w:rsidR="00B1729F" w:rsidRDefault="00B1729F" w:rsidP="00FC1F25">
      <w:pPr>
        <w:spacing w:after="40"/>
        <w:ind w:right="49"/>
        <w:jc w:val="center"/>
        <w:rPr>
          <w:rFonts w:ascii="Times New Roman" w:hAnsi="Times New Roman"/>
          <w:b/>
          <w:sz w:val="26"/>
          <w:szCs w:val="26"/>
        </w:rPr>
      </w:pPr>
    </w:p>
    <w:p w14:paraId="78C211CC" w14:textId="77777777" w:rsidR="00B1729F" w:rsidRDefault="00B1729F" w:rsidP="00FC1F25">
      <w:pPr>
        <w:spacing w:after="40"/>
        <w:ind w:right="49"/>
        <w:jc w:val="center"/>
        <w:rPr>
          <w:rFonts w:ascii="Times New Roman" w:hAnsi="Times New Roman"/>
          <w:b/>
          <w:sz w:val="26"/>
          <w:szCs w:val="26"/>
        </w:rPr>
      </w:pPr>
    </w:p>
    <w:p w14:paraId="4831BAD1" w14:textId="77777777" w:rsidR="00B1729F" w:rsidRDefault="00B1729F" w:rsidP="00FC1F25">
      <w:pPr>
        <w:spacing w:after="40"/>
        <w:ind w:right="49"/>
        <w:jc w:val="center"/>
        <w:rPr>
          <w:rFonts w:ascii="Times New Roman" w:hAnsi="Times New Roman"/>
          <w:b/>
          <w:sz w:val="26"/>
          <w:szCs w:val="26"/>
        </w:rPr>
      </w:pPr>
    </w:p>
    <w:p w14:paraId="36D8B992" w14:textId="77777777" w:rsidR="00B1729F" w:rsidRDefault="00B1729F" w:rsidP="00FC1F25">
      <w:pPr>
        <w:spacing w:after="40"/>
        <w:ind w:right="49"/>
        <w:jc w:val="center"/>
        <w:rPr>
          <w:rFonts w:ascii="Times New Roman" w:hAnsi="Times New Roman"/>
          <w:b/>
          <w:sz w:val="26"/>
          <w:szCs w:val="26"/>
        </w:rPr>
      </w:pPr>
    </w:p>
    <w:p w14:paraId="3353E11E" w14:textId="77777777" w:rsidR="00B1729F" w:rsidRDefault="00B1729F" w:rsidP="00FC1F25">
      <w:pPr>
        <w:spacing w:after="40"/>
        <w:ind w:right="49"/>
        <w:jc w:val="center"/>
        <w:rPr>
          <w:rFonts w:ascii="Times New Roman" w:hAnsi="Times New Roman"/>
          <w:b/>
          <w:sz w:val="26"/>
          <w:szCs w:val="26"/>
        </w:rPr>
      </w:pPr>
    </w:p>
    <w:p w14:paraId="33F015E3" w14:textId="77777777" w:rsidR="00773B4E" w:rsidRDefault="00773B4E" w:rsidP="00FC1F25">
      <w:pPr>
        <w:spacing w:after="40"/>
        <w:ind w:right="49"/>
        <w:jc w:val="center"/>
        <w:rPr>
          <w:rFonts w:ascii="Times New Roman" w:hAnsi="Times New Roman"/>
          <w:b/>
          <w:sz w:val="26"/>
          <w:szCs w:val="26"/>
        </w:rPr>
      </w:pPr>
    </w:p>
    <w:p w14:paraId="1C848513" w14:textId="77777777" w:rsidR="00773B4E" w:rsidRDefault="00773B4E" w:rsidP="00FC1F25">
      <w:pPr>
        <w:spacing w:after="40"/>
        <w:ind w:right="49"/>
        <w:jc w:val="center"/>
        <w:rPr>
          <w:rFonts w:ascii="Times New Roman" w:hAnsi="Times New Roman"/>
          <w:b/>
          <w:sz w:val="26"/>
          <w:szCs w:val="26"/>
        </w:rPr>
      </w:pPr>
    </w:p>
    <w:p w14:paraId="22F1FB0D" w14:textId="77777777" w:rsidR="00B1729F" w:rsidRPr="00B922FC" w:rsidRDefault="00B922FC" w:rsidP="00FC1F25">
      <w:pPr>
        <w:spacing w:after="40"/>
        <w:ind w:right="49"/>
        <w:jc w:val="center"/>
        <w:rPr>
          <w:rFonts w:ascii="Times New Roman" w:hAnsi="Times New Roman"/>
          <w:b/>
          <w:sz w:val="32"/>
          <w:szCs w:val="32"/>
        </w:rPr>
      </w:pPr>
      <w:r w:rsidRPr="00B922FC">
        <w:rPr>
          <w:rFonts w:ascii="Times New Roman" w:hAnsi="Times New Roman"/>
          <w:b/>
          <w:sz w:val="32"/>
          <w:szCs w:val="32"/>
        </w:rPr>
        <w:t>PL SM 7.1-01-2023</w:t>
      </w:r>
    </w:p>
    <w:p w14:paraId="3838F0B3" w14:textId="77777777" w:rsidR="00B1729F" w:rsidRDefault="00B1729F" w:rsidP="00FC1F25">
      <w:pPr>
        <w:spacing w:after="40"/>
        <w:ind w:right="49"/>
        <w:jc w:val="center"/>
        <w:rPr>
          <w:rFonts w:ascii="Times New Roman" w:hAnsi="Times New Roman"/>
          <w:b/>
          <w:sz w:val="26"/>
          <w:szCs w:val="26"/>
        </w:rPr>
      </w:pPr>
    </w:p>
    <w:p w14:paraId="7B76C7BC" w14:textId="572B3060" w:rsidR="00B1729F" w:rsidRPr="0064154F" w:rsidRDefault="00B1729F" w:rsidP="00B1729F">
      <w:pPr>
        <w:spacing w:after="40"/>
        <w:ind w:right="49"/>
        <w:jc w:val="center"/>
        <w:rPr>
          <w:rFonts w:ascii="Times New Roman" w:hAnsi="Times New Roman"/>
          <w:b/>
          <w:sz w:val="32"/>
          <w:szCs w:val="32"/>
          <w:lang w:val="en-US"/>
        </w:rPr>
      </w:pPr>
      <w:r w:rsidRPr="00A67BB5">
        <w:rPr>
          <w:rFonts w:ascii="Times New Roman" w:hAnsi="Times New Roman"/>
          <w:b/>
          <w:sz w:val="32"/>
          <w:szCs w:val="32"/>
        </w:rPr>
        <w:t>POLICY</w:t>
      </w:r>
      <w:r w:rsidR="0064154F" w:rsidRPr="00C701D0">
        <w:rPr>
          <w:rFonts w:ascii="Times New Roman" w:hAnsi="Times New Roman"/>
          <w:b/>
          <w:sz w:val="32"/>
          <w:szCs w:val="32"/>
          <w:lang w:val="en-US"/>
        </w:rPr>
        <w:t xml:space="preserve"> </w:t>
      </w:r>
      <w:r w:rsidR="0064154F">
        <w:rPr>
          <w:rFonts w:ascii="Times New Roman" w:hAnsi="Times New Roman"/>
          <w:b/>
          <w:sz w:val="32"/>
          <w:szCs w:val="32"/>
          <w:lang w:val="en-US"/>
        </w:rPr>
        <w:t>ON</w:t>
      </w:r>
    </w:p>
    <w:p w14:paraId="16D966CB" w14:textId="5B53D864" w:rsidR="000E14EB" w:rsidRDefault="00B1729F" w:rsidP="00B1729F">
      <w:pPr>
        <w:spacing w:after="40"/>
        <w:ind w:right="49"/>
        <w:jc w:val="center"/>
        <w:rPr>
          <w:rFonts w:ascii="Times New Roman" w:hAnsi="Times New Roman"/>
          <w:b/>
          <w:sz w:val="32"/>
          <w:szCs w:val="32"/>
        </w:rPr>
      </w:pPr>
      <w:r w:rsidRPr="00A67BB5">
        <w:rPr>
          <w:rFonts w:ascii="Times New Roman" w:hAnsi="Times New Roman"/>
          <w:b/>
          <w:sz w:val="32"/>
          <w:szCs w:val="32"/>
        </w:rPr>
        <w:t>MEASUREMENT UNCERTAINTY</w:t>
      </w:r>
      <w:r w:rsidR="0064154F">
        <w:rPr>
          <w:rFonts w:ascii="Times New Roman" w:hAnsi="Times New Roman"/>
          <w:b/>
          <w:sz w:val="32"/>
          <w:szCs w:val="32"/>
        </w:rPr>
        <w:t xml:space="preserve"> OF THE</w:t>
      </w:r>
    </w:p>
    <w:p w14:paraId="2D493803" w14:textId="77777777" w:rsidR="00B1729F" w:rsidRPr="00A67BB5" w:rsidRDefault="00B1729F" w:rsidP="00B1729F">
      <w:pPr>
        <w:spacing w:after="40"/>
        <w:ind w:right="49"/>
        <w:jc w:val="center"/>
        <w:rPr>
          <w:rFonts w:ascii="Times New Roman" w:hAnsi="Times New Roman"/>
          <w:b/>
          <w:sz w:val="32"/>
          <w:szCs w:val="32"/>
        </w:rPr>
      </w:pPr>
      <w:r w:rsidRPr="00A67BB5">
        <w:rPr>
          <w:rFonts w:ascii="Times New Roman" w:hAnsi="Times New Roman"/>
          <w:b/>
          <w:sz w:val="32"/>
          <w:szCs w:val="32"/>
        </w:rPr>
        <w:t>RESULTS PROVIDED BY ACCREDITED LABORATORIES</w:t>
      </w:r>
    </w:p>
    <w:p w14:paraId="6CF6A2C1" w14:textId="77777777" w:rsidR="00B1729F" w:rsidRDefault="00B1729F" w:rsidP="00FC1F25">
      <w:pPr>
        <w:spacing w:after="40"/>
        <w:ind w:right="49"/>
        <w:jc w:val="center"/>
        <w:rPr>
          <w:rFonts w:ascii="Times New Roman" w:hAnsi="Times New Roman"/>
          <w:b/>
          <w:sz w:val="26"/>
          <w:szCs w:val="26"/>
        </w:rPr>
      </w:pPr>
    </w:p>
    <w:p w14:paraId="4CCEB3E2" w14:textId="77777777" w:rsidR="00B1729F" w:rsidRDefault="00B1729F" w:rsidP="00FC1F25">
      <w:pPr>
        <w:spacing w:after="40"/>
        <w:ind w:right="49"/>
        <w:jc w:val="center"/>
        <w:rPr>
          <w:rFonts w:ascii="Times New Roman" w:hAnsi="Times New Roman"/>
          <w:b/>
          <w:sz w:val="26"/>
          <w:szCs w:val="26"/>
        </w:rPr>
      </w:pPr>
    </w:p>
    <w:p w14:paraId="30D7C2FD" w14:textId="77777777" w:rsidR="00B1729F" w:rsidRDefault="00B1729F" w:rsidP="00FC1F25">
      <w:pPr>
        <w:spacing w:after="40"/>
        <w:ind w:right="49"/>
        <w:jc w:val="center"/>
        <w:rPr>
          <w:rFonts w:ascii="Times New Roman" w:hAnsi="Times New Roman"/>
          <w:b/>
          <w:sz w:val="26"/>
          <w:szCs w:val="26"/>
        </w:rPr>
      </w:pPr>
    </w:p>
    <w:p w14:paraId="60602E3D" w14:textId="77777777" w:rsidR="00B1729F" w:rsidRDefault="00B922FC" w:rsidP="00B922FC">
      <w:pPr>
        <w:tabs>
          <w:tab w:val="left" w:pos="5040"/>
        </w:tabs>
        <w:spacing w:after="40"/>
        <w:ind w:right="49"/>
        <w:rPr>
          <w:rFonts w:ascii="Times New Roman" w:hAnsi="Times New Roman"/>
          <w:b/>
          <w:sz w:val="26"/>
          <w:szCs w:val="26"/>
        </w:rPr>
      </w:pPr>
      <w:r>
        <w:rPr>
          <w:rFonts w:ascii="Times New Roman" w:hAnsi="Times New Roman"/>
          <w:b/>
          <w:sz w:val="26"/>
          <w:szCs w:val="26"/>
        </w:rPr>
        <w:tab/>
      </w:r>
    </w:p>
    <w:p w14:paraId="64DABB31" w14:textId="77777777" w:rsidR="00B922FC" w:rsidRDefault="00B922FC" w:rsidP="00B922FC">
      <w:pPr>
        <w:tabs>
          <w:tab w:val="left" w:pos="5040"/>
        </w:tabs>
        <w:spacing w:after="40"/>
        <w:ind w:right="49"/>
        <w:rPr>
          <w:rFonts w:ascii="Times New Roman" w:hAnsi="Times New Roman"/>
          <w:b/>
          <w:sz w:val="26"/>
          <w:szCs w:val="26"/>
        </w:rPr>
      </w:pPr>
    </w:p>
    <w:p w14:paraId="364C2942" w14:textId="77777777" w:rsidR="00B922FC" w:rsidRDefault="00B922FC" w:rsidP="00B922FC">
      <w:pPr>
        <w:tabs>
          <w:tab w:val="left" w:pos="5040"/>
        </w:tabs>
        <w:spacing w:after="40"/>
        <w:ind w:right="49"/>
        <w:rPr>
          <w:rFonts w:ascii="Times New Roman" w:hAnsi="Times New Roman"/>
          <w:b/>
          <w:sz w:val="26"/>
          <w:szCs w:val="26"/>
        </w:rPr>
      </w:pPr>
    </w:p>
    <w:p w14:paraId="22D79661" w14:textId="77777777" w:rsidR="00B922FC" w:rsidRDefault="00B922FC" w:rsidP="00B922FC">
      <w:pPr>
        <w:tabs>
          <w:tab w:val="left" w:pos="5040"/>
        </w:tabs>
        <w:spacing w:after="40"/>
        <w:ind w:right="49"/>
        <w:rPr>
          <w:rFonts w:ascii="Times New Roman" w:hAnsi="Times New Roman"/>
          <w:b/>
          <w:sz w:val="26"/>
          <w:szCs w:val="26"/>
        </w:rPr>
      </w:pPr>
    </w:p>
    <w:p w14:paraId="43B0D311" w14:textId="77777777" w:rsidR="00B922FC" w:rsidRDefault="00B922FC" w:rsidP="00B922FC">
      <w:pPr>
        <w:tabs>
          <w:tab w:val="left" w:pos="5040"/>
        </w:tabs>
        <w:spacing w:after="40"/>
        <w:ind w:right="49"/>
        <w:rPr>
          <w:rFonts w:ascii="Times New Roman" w:hAnsi="Times New Roman"/>
          <w:b/>
          <w:sz w:val="26"/>
          <w:szCs w:val="26"/>
        </w:rPr>
      </w:pPr>
    </w:p>
    <w:p w14:paraId="719E061E" w14:textId="77777777" w:rsidR="00B922FC" w:rsidRDefault="00B922FC" w:rsidP="00B922FC">
      <w:pPr>
        <w:tabs>
          <w:tab w:val="left" w:pos="5040"/>
        </w:tabs>
        <w:spacing w:after="40"/>
        <w:ind w:right="49"/>
        <w:rPr>
          <w:rFonts w:ascii="Times New Roman" w:hAnsi="Times New Roman"/>
          <w:b/>
          <w:sz w:val="26"/>
          <w:szCs w:val="26"/>
        </w:rPr>
      </w:pPr>
    </w:p>
    <w:p w14:paraId="565DB006" w14:textId="77777777" w:rsidR="004D23BE" w:rsidRDefault="004D23BE" w:rsidP="00B922FC">
      <w:pPr>
        <w:tabs>
          <w:tab w:val="left" w:pos="5040"/>
        </w:tabs>
        <w:spacing w:after="40"/>
        <w:ind w:right="49"/>
        <w:rPr>
          <w:rFonts w:ascii="Times New Roman" w:hAnsi="Times New Roman"/>
          <w:b/>
          <w:sz w:val="26"/>
          <w:szCs w:val="26"/>
        </w:rPr>
      </w:pPr>
    </w:p>
    <w:p w14:paraId="6336AB39" w14:textId="77777777" w:rsidR="004D23BE" w:rsidRDefault="004D23BE" w:rsidP="00B922FC">
      <w:pPr>
        <w:tabs>
          <w:tab w:val="left" w:pos="5040"/>
        </w:tabs>
        <w:spacing w:after="40"/>
        <w:ind w:right="49"/>
        <w:rPr>
          <w:rFonts w:ascii="Times New Roman" w:hAnsi="Times New Roman"/>
          <w:b/>
          <w:sz w:val="26"/>
          <w:szCs w:val="26"/>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5716"/>
      </w:tblGrid>
      <w:tr w:rsidR="00B351B8" w:rsidRPr="00EF68C9" w14:paraId="7CCD86B8" w14:textId="77777777" w:rsidTr="00292755">
        <w:trPr>
          <w:trHeight w:val="99"/>
        </w:trPr>
        <w:tc>
          <w:tcPr>
            <w:tcW w:w="1999" w:type="pct"/>
          </w:tcPr>
          <w:p w14:paraId="435389C4" w14:textId="515F6BC9" w:rsidR="00B351B8" w:rsidRPr="00EF68C9" w:rsidRDefault="00B351B8" w:rsidP="00B351B8">
            <w:pPr>
              <w:pStyle w:val="af2"/>
              <w:rPr>
                <w:rFonts w:ascii="Times New Roman" w:hAnsi="Times New Roman"/>
                <w:sz w:val="24"/>
                <w:szCs w:val="24"/>
              </w:rPr>
            </w:pPr>
            <w:r w:rsidRPr="00B351B8">
              <w:rPr>
                <w:rFonts w:ascii="Times New Roman" w:hAnsi="Times New Roman"/>
                <w:sz w:val="24"/>
                <w:szCs w:val="24"/>
              </w:rPr>
              <w:t>Developed</w:t>
            </w:r>
          </w:p>
        </w:tc>
        <w:tc>
          <w:tcPr>
            <w:tcW w:w="3001" w:type="pct"/>
          </w:tcPr>
          <w:p w14:paraId="76D8F8CB" w14:textId="77777777" w:rsidR="00B351B8" w:rsidRPr="00EF68C9" w:rsidRDefault="00B351B8" w:rsidP="00B351B8">
            <w:pPr>
              <w:pStyle w:val="af2"/>
              <w:rPr>
                <w:rFonts w:ascii="Times New Roman" w:hAnsi="Times New Roman"/>
                <w:sz w:val="24"/>
                <w:szCs w:val="24"/>
              </w:rPr>
            </w:pPr>
            <w:r>
              <w:rPr>
                <w:rFonts w:ascii="Times New Roman" w:hAnsi="Times New Roman"/>
                <w:sz w:val="24"/>
                <w:szCs w:val="24"/>
              </w:rPr>
              <w:t>Accreditation Department No. 2</w:t>
            </w:r>
          </w:p>
        </w:tc>
      </w:tr>
      <w:tr w:rsidR="00B351B8" w:rsidRPr="00EF68C9" w14:paraId="749A1ECB" w14:textId="77777777" w:rsidTr="00292755">
        <w:trPr>
          <w:trHeight w:val="99"/>
        </w:trPr>
        <w:tc>
          <w:tcPr>
            <w:tcW w:w="1999" w:type="pct"/>
          </w:tcPr>
          <w:p w14:paraId="73B62E29" w14:textId="050E09E6" w:rsidR="00B351B8" w:rsidRPr="00EF68C9" w:rsidRDefault="00B351B8" w:rsidP="00B351B8">
            <w:pPr>
              <w:pStyle w:val="af2"/>
              <w:rPr>
                <w:rFonts w:ascii="Times New Roman" w:hAnsi="Times New Roman"/>
                <w:sz w:val="24"/>
                <w:szCs w:val="24"/>
              </w:rPr>
            </w:pPr>
            <w:r w:rsidRPr="00B351B8">
              <w:rPr>
                <w:rFonts w:ascii="Times New Roman" w:hAnsi="Times New Roman"/>
                <w:sz w:val="24"/>
                <w:szCs w:val="24"/>
              </w:rPr>
              <w:t xml:space="preserve">Responsible for Revision </w:t>
            </w:r>
          </w:p>
        </w:tc>
        <w:tc>
          <w:tcPr>
            <w:tcW w:w="3001" w:type="pct"/>
          </w:tcPr>
          <w:p w14:paraId="2F15DBB3" w14:textId="77777777" w:rsidR="00B351B8" w:rsidRPr="00EF68C9" w:rsidRDefault="00B351B8" w:rsidP="00B351B8">
            <w:pPr>
              <w:pStyle w:val="af2"/>
              <w:rPr>
                <w:rFonts w:ascii="Times New Roman" w:hAnsi="Times New Roman"/>
                <w:sz w:val="24"/>
                <w:szCs w:val="24"/>
              </w:rPr>
            </w:pPr>
            <w:r>
              <w:rPr>
                <w:rFonts w:ascii="Times New Roman" w:hAnsi="Times New Roman"/>
                <w:sz w:val="24"/>
                <w:szCs w:val="24"/>
              </w:rPr>
              <w:t>Accreditation Department No. 2</w:t>
            </w:r>
          </w:p>
        </w:tc>
      </w:tr>
      <w:tr w:rsidR="00B351B8" w:rsidRPr="004262D4" w14:paraId="5C4C0801" w14:textId="77777777" w:rsidTr="00292755">
        <w:trPr>
          <w:trHeight w:val="141"/>
        </w:trPr>
        <w:tc>
          <w:tcPr>
            <w:tcW w:w="1999" w:type="pct"/>
          </w:tcPr>
          <w:p w14:paraId="579C377F" w14:textId="097E7A96" w:rsidR="00B351B8" w:rsidRPr="0097760E" w:rsidRDefault="00B351B8" w:rsidP="00B351B8">
            <w:pPr>
              <w:pStyle w:val="af2"/>
              <w:rPr>
                <w:rFonts w:ascii="Times New Roman" w:hAnsi="Times New Roman"/>
                <w:sz w:val="24"/>
                <w:szCs w:val="24"/>
              </w:rPr>
            </w:pPr>
            <w:r w:rsidRPr="00B351B8">
              <w:rPr>
                <w:rFonts w:ascii="Times New Roman" w:hAnsi="Times New Roman"/>
                <w:sz w:val="24"/>
                <w:szCs w:val="24"/>
              </w:rPr>
              <w:t>Approved</w:t>
            </w:r>
          </w:p>
        </w:tc>
        <w:tc>
          <w:tcPr>
            <w:tcW w:w="3001" w:type="pct"/>
          </w:tcPr>
          <w:p w14:paraId="1F09F6C1" w14:textId="77777777" w:rsidR="00B351B8" w:rsidRPr="001935B6" w:rsidRDefault="00B351B8" w:rsidP="00B351B8">
            <w:pPr>
              <w:pStyle w:val="af2"/>
              <w:rPr>
                <w:rFonts w:ascii="Times New Roman" w:hAnsi="Times New Roman"/>
                <w:sz w:val="24"/>
                <w:szCs w:val="24"/>
              </w:rPr>
            </w:pPr>
            <w:r w:rsidRPr="001935B6">
              <w:rPr>
                <w:rFonts w:ascii="Times New Roman" w:hAnsi="Times New Roman"/>
                <w:sz w:val="24"/>
                <w:szCs w:val="24"/>
              </w:rPr>
              <w:t>By order of December 29, 2023 No. 185</w:t>
            </w:r>
          </w:p>
        </w:tc>
      </w:tr>
      <w:tr w:rsidR="00B351B8" w:rsidRPr="004262D4" w14:paraId="63ABB3BB" w14:textId="77777777" w:rsidTr="00292755">
        <w:trPr>
          <w:trHeight w:val="141"/>
        </w:trPr>
        <w:tc>
          <w:tcPr>
            <w:tcW w:w="1999" w:type="pct"/>
          </w:tcPr>
          <w:p w14:paraId="6BDBE98C" w14:textId="0C4EA484" w:rsidR="00B351B8" w:rsidRPr="0097760E" w:rsidRDefault="00B351B8" w:rsidP="00B351B8">
            <w:pPr>
              <w:pStyle w:val="af2"/>
              <w:rPr>
                <w:rFonts w:ascii="Times New Roman" w:hAnsi="Times New Roman"/>
                <w:sz w:val="24"/>
                <w:szCs w:val="24"/>
              </w:rPr>
            </w:pPr>
            <w:r w:rsidRPr="00B351B8">
              <w:rPr>
                <w:rFonts w:ascii="Times New Roman" w:hAnsi="Times New Roman"/>
                <w:sz w:val="24"/>
                <w:szCs w:val="24"/>
              </w:rPr>
              <w:t>Implemented</w:t>
            </w:r>
          </w:p>
        </w:tc>
        <w:tc>
          <w:tcPr>
            <w:tcW w:w="3001" w:type="pct"/>
          </w:tcPr>
          <w:p w14:paraId="6E9BA23B" w14:textId="77777777" w:rsidR="00B351B8" w:rsidRPr="001935B6" w:rsidRDefault="00B351B8" w:rsidP="00B351B8">
            <w:pPr>
              <w:pStyle w:val="af2"/>
              <w:rPr>
                <w:rFonts w:ascii="Times New Roman" w:hAnsi="Times New Roman"/>
                <w:sz w:val="24"/>
                <w:szCs w:val="24"/>
              </w:rPr>
            </w:pPr>
            <w:r>
              <w:rPr>
                <w:rFonts w:ascii="Times New Roman" w:hAnsi="Times New Roman"/>
                <w:sz w:val="24"/>
                <w:szCs w:val="24"/>
              </w:rPr>
              <w:t>01/25/2024</w:t>
            </w:r>
          </w:p>
        </w:tc>
      </w:tr>
      <w:tr w:rsidR="00B351B8" w:rsidRPr="004262D4" w14:paraId="43473B5A" w14:textId="77777777" w:rsidTr="00292755">
        <w:trPr>
          <w:trHeight w:val="141"/>
        </w:trPr>
        <w:tc>
          <w:tcPr>
            <w:tcW w:w="1999" w:type="pct"/>
          </w:tcPr>
          <w:p w14:paraId="4D1B0857" w14:textId="5E0A149B" w:rsidR="00B351B8" w:rsidRPr="0097760E" w:rsidRDefault="00B351B8" w:rsidP="00B351B8">
            <w:pPr>
              <w:pStyle w:val="af2"/>
              <w:rPr>
                <w:rFonts w:ascii="Times New Roman" w:hAnsi="Times New Roman"/>
                <w:sz w:val="24"/>
                <w:szCs w:val="24"/>
              </w:rPr>
            </w:pPr>
            <w:r w:rsidRPr="00B351B8">
              <w:rPr>
                <w:rFonts w:ascii="Times New Roman" w:hAnsi="Times New Roman"/>
                <w:sz w:val="24"/>
                <w:szCs w:val="24"/>
              </w:rPr>
              <w:t>Issue</w:t>
            </w:r>
          </w:p>
        </w:tc>
        <w:tc>
          <w:tcPr>
            <w:tcW w:w="3001" w:type="pct"/>
          </w:tcPr>
          <w:p w14:paraId="211BD1AA" w14:textId="77777777" w:rsidR="00B351B8" w:rsidRPr="000A5F16" w:rsidRDefault="00B351B8" w:rsidP="00B351B8">
            <w:pPr>
              <w:pStyle w:val="af2"/>
              <w:rPr>
                <w:rFonts w:ascii="Times New Roman" w:hAnsi="Times New Roman"/>
                <w:sz w:val="24"/>
                <w:szCs w:val="24"/>
              </w:rPr>
            </w:pPr>
            <w:r>
              <w:rPr>
                <w:rFonts w:ascii="Times New Roman" w:hAnsi="Times New Roman"/>
                <w:sz w:val="24"/>
                <w:szCs w:val="24"/>
              </w:rPr>
              <w:t>02</w:t>
            </w:r>
          </w:p>
        </w:tc>
      </w:tr>
      <w:tr w:rsidR="00B351B8" w:rsidRPr="004262D4" w14:paraId="54461865" w14:textId="77777777" w:rsidTr="00292755">
        <w:trPr>
          <w:trHeight w:val="141"/>
        </w:trPr>
        <w:tc>
          <w:tcPr>
            <w:tcW w:w="1999" w:type="pct"/>
          </w:tcPr>
          <w:p w14:paraId="1EBCC84F" w14:textId="04D09B9C" w:rsidR="00B351B8" w:rsidRPr="0097760E" w:rsidRDefault="00B351B8" w:rsidP="00B351B8">
            <w:pPr>
              <w:pStyle w:val="af2"/>
              <w:rPr>
                <w:rFonts w:ascii="Times New Roman" w:hAnsi="Times New Roman"/>
                <w:sz w:val="24"/>
                <w:szCs w:val="24"/>
              </w:rPr>
            </w:pPr>
            <w:r w:rsidRPr="00B351B8">
              <w:rPr>
                <w:rFonts w:ascii="Times New Roman" w:hAnsi="Times New Roman"/>
                <w:sz w:val="24"/>
                <w:szCs w:val="24"/>
              </w:rPr>
              <w:t>Changes</w:t>
            </w:r>
          </w:p>
        </w:tc>
        <w:tc>
          <w:tcPr>
            <w:tcW w:w="3001" w:type="pct"/>
          </w:tcPr>
          <w:p w14:paraId="4B5D45A8" w14:textId="77777777" w:rsidR="00B351B8" w:rsidRPr="00A3594B" w:rsidRDefault="00B351B8" w:rsidP="00B351B8">
            <w:pPr>
              <w:pStyle w:val="af2"/>
              <w:rPr>
                <w:rFonts w:ascii="Times New Roman" w:hAnsi="Times New Roman"/>
                <w:sz w:val="24"/>
                <w:szCs w:val="24"/>
              </w:rPr>
            </w:pPr>
          </w:p>
        </w:tc>
      </w:tr>
      <w:tr w:rsidR="00B351B8" w:rsidRPr="004262D4" w14:paraId="76151C5F" w14:textId="77777777" w:rsidTr="00292755">
        <w:trPr>
          <w:trHeight w:val="141"/>
        </w:trPr>
        <w:tc>
          <w:tcPr>
            <w:tcW w:w="1999" w:type="pct"/>
          </w:tcPr>
          <w:p w14:paraId="2022B6C8" w14:textId="41EB5424" w:rsidR="00B351B8" w:rsidRPr="0097760E" w:rsidRDefault="00B351B8" w:rsidP="00B351B8">
            <w:pPr>
              <w:pStyle w:val="af2"/>
              <w:rPr>
                <w:rFonts w:ascii="Times New Roman" w:hAnsi="Times New Roman"/>
                <w:sz w:val="24"/>
                <w:szCs w:val="24"/>
              </w:rPr>
            </w:pPr>
            <w:r w:rsidRPr="00B351B8">
              <w:rPr>
                <w:rFonts w:ascii="Times New Roman" w:hAnsi="Times New Roman"/>
                <w:sz w:val="24"/>
                <w:szCs w:val="24"/>
              </w:rPr>
              <w:t xml:space="preserve">Exemplar </w:t>
            </w:r>
          </w:p>
        </w:tc>
        <w:tc>
          <w:tcPr>
            <w:tcW w:w="3001" w:type="pct"/>
          </w:tcPr>
          <w:p w14:paraId="6ECAD332" w14:textId="2565D51D" w:rsidR="00B351B8" w:rsidRPr="00C701D0" w:rsidRDefault="00C701D0" w:rsidP="00B351B8">
            <w:pPr>
              <w:pStyle w:val="af2"/>
              <w:rPr>
                <w:rFonts w:ascii="Times New Roman" w:hAnsi="Times New Roman"/>
                <w:sz w:val="24"/>
                <w:szCs w:val="24"/>
                <w:lang w:val="en-US"/>
              </w:rPr>
            </w:pPr>
            <w:r>
              <w:rPr>
                <w:rFonts w:ascii="Times New Roman" w:hAnsi="Times New Roman"/>
                <w:sz w:val="24"/>
                <w:szCs w:val="24"/>
                <w:lang w:val="en-US"/>
              </w:rPr>
              <w:t>Working</w:t>
            </w:r>
          </w:p>
        </w:tc>
      </w:tr>
      <w:tr w:rsidR="00B351B8" w:rsidRPr="004262D4" w14:paraId="40C617DE" w14:textId="77777777" w:rsidTr="00292755">
        <w:trPr>
          <w:trHeight w:val="141"/>
        </w:trPr>
        <w:tc>
          <w:tcPr>
            <w:tcW w:w="1999" w:type="pct"/>
          </w:tcPr>
          <w:p w14:paraId="22EE686B" w14:textId="4F383547" w:rsidR="00B351B8" w:rsidRPr="0097760E" w:rsidRDefault="00B351B8" w:rsidP="00B351B8">
            <w:pPr>
              <w:pStyle w:val="af2"/>
              <w:rPr>
                <w:rFonts w:ascii="Times New Roman" w:hAnsi="Times New Roman"/>
                <w:sz w:val="24"/>
                <w:szCs w:val="24"/>
              </w:rPr>
            </w:pPr>
            <w:r w:rsidRPr="00B351B8">
              <w:rPr>
                <w:rFonts w:ascii="Times New Roman" w:hAnsi="Times New Roman"/>
                <w:sz w:val="24"/>
                <w:szCs w:val="24"/>
              </w:rPr>
              <w:t>Replaces</w:t>
            </w:r>
          </w:p>
        </w:tc>
        <w:tc>
          <w:tcPr>
            <w:tcW w:w="3001" w:type="pct"/>
          </w:tcPr>
          <w:p w14:paraId="2F2886BF" w14:textId="77777777" w:rsidR="00B351B8" w:rsidRPr="009E3772" w:rsidRDefault="00B351B8" w:rsidP="00B351B8">
            <w:pPr>
              <w:pStyle w:val="Default"/>
              <w:rPr>
                <w:rFonts w:ascii="Times New Roman" w:hAnsi="Times New Roman"/>
              </w:rPr>
            </w:pPr>
            <w:r>
              <w:rPr>
                <w:rFonts w:ascii="Times New Roman" w:hAnsi="Times New Roman"/>
              </w:rPr>
              <w:t>PL SM 7.1-01-2016</w:t>
            </w:r>
          </w:p>
        </w:tc>
      </w:tr>
    </w:tbl>
    <w:p w14:paraId="0A8E6842" w14:textId="77777777" w:rsidR="00B922FC" w:rsidRDefault="00617E97" w:rsidP="00E81273">
      <w:pPr>
        <w:spacing w:after="0" w:line="240" w:lineRule="auto"/>
        <w:ind w:firstLine="709"/>
        <w:jc w:val="both"/>
        <w:rPr>
          <w:rFonts w:ascii="Times New Roman" w:hAnsi="Times New Roman"/>
          <w:i/>
          <w:sz w:val="26"/>
          <w:szCs w:val="26"/>
        </w:rPr>
      </w:pPr>
      <w:r>
        <w:rPr>
          <w:rFonts w:ascii="Times New Roman" w:hAnsi="Times New Roman"/>
          <w:b/>
          <w:sz w:val="26"/>
          <w:szCs w:val="26"/>
        </w:rPr>
        <w:br w:type="page"/>
      </w:r>
      <w:bookmarkStart w:id="0" w:name="_Toc483623899"/>
      <w:r w:rsidR="00B922FC" w:rsidRPr="00F45E55">
        <w:rPr>
          <w:rFonts w:ascii="Times New Roman" w:hAnsi="Times New Roman"/>
          <w:i/>
          <w:sz w:val="26"/>
          <w:szCs w:val="26"/>
        </w:rPr>
        <w:lastRenderedPageBreak/>
        <w:t xml:space="preserve">This document defines the policy of the Republican Unitary Enterprise "Belarusian State Accreditation Center" (hereinafter - </w:t>
      </w:r>
      <w:proofErr w:type="gramStart"/>
      <w:r w:rsidR="00B922FC" w:rsidRPr="00F45E55">
        <w:rPr>
          <w:rFonts w:ascii="Times New Roman" w:hAnsi="Times New Roman"/>
          <w:i/>
          <w:sz w:val="26"/>
          <w:szCs w:val="26"/>
        </w:rPr>
        <w:t xml:space="preserve">BSCA </w:t>
      </w:r>
      <w:r w:rsidR="00C73289">
        <w:rPr>
          <w:rFonts w:ascii="Times New Roman" w:hAnsi="Times New Roman"/>
          <w:i/>
          <w:sz w:val="26"/>
          <w:szCs w:val="26"/>
        </w:rPr>
        <w:t>,</w:t>
      </w:r>
      <w:proofErr w:type="gramEnd"/>
      <w:r w:rsidR="00C73289">
        <w:rPr>
          <w:rFonts w:ascii="Times New Roman" w:hAnsi="Times New Roman"/>
          <w:i/>
          <w:sz w:val="26"/>
          <w:szCs w:val="26"/>
        </w:rPr>
        <w:t xml:space="preserve"> accreditation body) regarding the expression of measurement uncertainty of results issued by accredited laboratories.</w:t>
      </w:r>
      <w:r w:rsidR="00B922FC">
        <w:rPr>
          <w:rFonts w:ascii="Times New Roman" w:hAnsi="Times New Roman"/>
          <w:i/>
          <w:sz w:val="26"/>
          <w:szCs w:val="26"/>
        </w:rPr>
        <w:tab/>
      </w:r>
    </w:p>
    <w:p w14:paraId="14425FD4" w14:textId="77777777" w:rsidR="00F124B8" w:rsidRPr="00A67BB5" w:rsidRDefault="00407F38" w:rsidP="00E81273">
      <w:pPr>
        <w:spacing w:line="240" w:lineRule="auto"/>
        <w:ind w:right="-1" w:firstLine="709"/>
        <w:jc w:val="both"/>
        <w:rPr>
          <w:rFonts w:ascii="Times New Roman" w:hAnsi="Times New Roman"/>
          <w:i/>
          <w:sz w:val="26"/>
          <w:szCs w:val="26"/>
        </w:rPr>
      </w:pPr>
      <w:r w:rsidRPr="00A67BB5">
        <w:rPr>
          <w:rFonts w:ascii="Times New Roman" w:hAnsi="Times New Roman"/>
          <w:i/>
          <w:sz w:val="26"/>
          <w:szCs w:val="26"/>
        </w:rPr>
        <w:t>The policy applies to the activities of the BSCA and accredited laboratories.</w:t>
      </w:r>
    </w:p>
    <w:p w14:paraId="5163162A" w14:textId="77777777" w:rsidR="004D23BE" w:rsidRPr="00A67BB5" w:rsidRDefault="004D23BE" w:rsidP="00E81273">
      <w:pPr>
        <w:tabs>
          <w:tab w:val="left" w:pos="651"/>
        </w:tabs>
        <w:spacing w:after="0" w:line="240" w:lineRule="auto"/>
        <w:ind w:firstLine="709"/>
        <w:jc w:val="both"/>
        <w:rPr>
          <w:rFonts w:ascii="Times New Roman" w:hAnsi="Times New Roman"/>
          <w:sz w:val="26"/>
          <w:szCs w:val="26"/>
        </w:rPr>
      </w:pPr>
      <w:r w:rsidRPr="00EB1197">
        <w:rPr>
          <w:rFonts w:ascii="Times New Roman" w:hAnsi="Times New Roman"/>
          <w:sz w:val="26"/>
          <w:szCs w:val="26"/>
        </w:rPr>
        <w:t>This Policy has been developed taking into account the requirements of international documents:</w:t>
      </w:r>
    </w:p>
    <w:p w14:paraId="61563467" w14:textId="3E730E87" w:rsidR="004D23BE" w:rsidRDefault="004D23BE" w:rsidP="00E81273">
      <w:pPr>
        <w:tabs>
          <w:tab w:val="left" w:pos="651"/>
        </w:tabs>
        <w:spacing w:after="0" w:line="240" w:lineRule="auto"/>
        <w:ind w:firstLine="709"/>
        <w:jc w:val="both"/>
        <w:rPr>
          <w:rFonts w:ascii="Times New Roman" w:hAnsi="Times New Roman"/>
          <w:sz w:val="26"/>
          <w:szCs w:val="26"/>
        </w:rPr>
      </w:pPr>
      <w:r w:rsidRPr="00E71DC1">
        <w:rPr>
          <w:rFonts w:ascii="Times New Roman" w:hAnsi="Times New Roman"/>
          <w:sz w:val="26"/>
          <w:szCs w:val="26"/>
        </w:rPr>
        <w:t xml:space="preserve">ILAC-P14:09 ILAC Policy </w:t>
      </w:r>
      <w:r w:rsidR="00277101">
        <w:rPr>
          <w:rFonts w:ascii="Times New Roman" w:hAnsi="Times New Roman"/>
          <w:sz w:val="26"/>
          <w:szCs w:val="26"/>
        </w:rPr>
        <w:t>for</w:t>
      </w:r>
      <w:r w:rsidRPr="00E71DC1">
        <w:rPr>
          <w:rFonts w:ascii="Times New Roman" w:hAnsi="Times New Roman"/>
          <w:sz w:val="26"/>
          <w:szCs w:val="26"/>
        </w:rPr>
        <w:t xml:space="preserve"> Measurement Uncertainty in Calibration;</w:t>
      </w:r>
    </w:p>
    <w:p w14:paraId="432549E1" w14:textId="26171D26" w:rsidR="001C7492" w:rsidRDefault="004D23BE" w:rsidP="00E81273">
      <w:pPr>
        <w:tabs>
          <w:tab w:val="left" w:pos="651"/>
        </w:tabs>
        <w:spacing w:after="0" w:line="240" w:lineRule="auto"/>
        <w:ind w:firstLine="709"/>
        <w:jc w:val="both"/>
        <w:rPr>
          <w:rFonts w:ascii="Times New Roman" w:hAnsi="Times New Roman"/>
          <w:sz w:val="26"/>
          <w:szCs w:val="26"/>
        </w:rPr>
      </w:pPr>
      <w:r w:rsidRPr="00E71DC1">
        <w:rPr>
          <w:rFonts w:ascii="Times New Roman" w:hAnsi="Times New Roman"/>
          <w:sz w:val="26"/>
          <w:szCs w:val="26"/>
        </w:rPr>
        <w:t xml:space="preserve">EA-4/02 M </w:t>
      </w:r>
      <w:r w:rsidR="00277101" w:rsidRPr="00277101">
        <w:rPr>
          <w:rFonts w:ascii="Times New Roman" w:hAnsi="Times New Roman"/>
          <w:sz w:val="26"/>
          <w:szCs w:val="26"/>
        </w:rPr>
        <w:t>Evaluation of the Uncertainty of Measurement in calibration</w:t>
      </w:r>
      <w:r w:rsidRPr="00E71DC1">
        <w:rPr>
          <w:rFonts w:ascii="Times New Roman" w:hAnsi="Times New Roman"/>
          <w:sz w:val="26"/>
          <w:szCs w:val="26"/>
        </w:rPr>
        <w:t>”;</w:t>
      </w:r>
    </w:p>
    <w:p w14:paraId="08901D40" w14:textId="098BF854" w:rsidR="004D23BE" w:rsidRPr="00A67BB5" w:rsidRDefault="004D23BE" w:rsidP="00277101">
      <w:pPr>
        <w:tabs>
          <w:tab w:val="left" w:pos="651"/>
        </w:tabs>
        <w:spacing w:after="0" w:line="240" w:lineRule="auto"/>
        <w:ind w:firstLine="709"/>
        <w:jc w:val="both"/>
        <w:rPr>
          <w:rFonts w:ascii="Times New Roman" w:hAnsi="Times New Roman"/>
          <w:sz w:val="26"/>
          <w:szCs w:val="26"/>
        </w:rPr>
      </w:pPr>
      <w:r w:rsidRPr="00E71DC1">
        <w:rPr>
          <w:rFonts w:ascii="Times New Roman" w:hAnsi="Times New Roman"/>
          <w:sz w:val="26"/>
          <w:szCs w:val="26"/>
        </w:rPr>
        <w:t xml:space="preserve">ILAC-G17:01 </w:t>
      </w:r>
      <w:r w:rsidR="00277101" w:rsidRPr="00277101">
        <w:rPr>
          <w:rFonts w:ascii="Times New Roman" w:hAnsi="Times New Roman"/>
          <w:sz w:val="26"/>
          <w:szCs w:val="26"/>
        </w:rPr>
        <w:t>ILAC Guidelines for</w:t>
      </w:r>
      <w:r w:rsidR="00277101" w:rsidRPr="00277101">
        <w:rPr>
          <w:rFonts w:ascii="Times New Roman" w:hAnsi="Times New Roman"/>
          <w:sz w:val="26"/>
          <w:szCs w:val="26"/>
          <w:lang w:val="en-US"/>
        </w:rPr>
        <w:t xml:space="preserve"> </w:t>
      </w:r>
      <w:r w:rsidR="00277101" w:rsidRPr="00277101">
        <w:rPr>
          <w:rFonts w:ascii="Times New Roman" w:hAnsi="Times New Roman"/>
          <w:sz w:val="26"/>
          <w:szCs w:val="26"/>
        </w:rPr>
        <w:t>Measurement Uncertainty in Testing</w:t>
      </w:r>
      <w:r w:rsidRPr="00E71DC1">
        <w:rPr>
          <w:rFonts w:ascii="Times New Roman" w:hAnsi="Times New Roman"/>
          <w:sz w:val="26"/>
          <w:szCs w:val="26"/>
        </w:rPr>
        <w:t>;</w:t>
      </w:r>
    </w:p>
    <w:p w14:paraId="1BBED1EE" w14:textId="3FCC4D6A" w:rsidR="001C7492" w:rsidRPr="00A67BB5" w:rsidRDefault="001C7492" w:rsidP="00277101">
      <w:pPr>
        <w:tabs>
          <w:tab w:val="left" w:pos="651"/>
        </w:tabs>
        <w:spacing w:after="0" w:line="240" w:lineRule="auto"/>
        <w:ind w:firstLine="709"/>
        <w:jc w:val="both"/>
        <w:rPr>
          <w:rFonts w:ascii="Times New Roman" w:hAnsi="Times New Roman"/>
          <w:sz w:val="26"/>
          <w:szCs w:val="26"/>
        </w:rPr>
      </w:pPr>
      <w:r w:rsidRPr="00E71DC1">
        <w:rPr>
          <w:rFonts w:ascii="Times New Roman" w:hAnsi="Times New Roman"/>
          <w:sz w:val="26"/>
          <w:szCs w:val="26"/>
        </w:rPr>
        <w:t xml:space="preserve">ILAC-G8:09 </w:t>
      </w:r>
      <w:r w:rsidR="00277101" w:rsidRPr="00277101">
        <w:rPr>
          <w:rFonts w:ascii="Times New Roman" w:hAnsi="Times New Roman"/>
          <w:sz w:val="26"/>
          <w:szCs w:val="26"/>
        </w:rPr>
        <w:t>Guidelines on Decision Rules and</w:t>
      </w:r>
      <w:r w:rsidR="00277101" w:rsidRPr="00277101">
        <w:rPr>
          <w:rFonts w:ascii="Times New Roman" w:hAnsi="Times New Roman"/>
          <w:sz w:val="26"/>
          <w:szCs w:val="26"/>
          <w:lang w:val="en-US"/>
        </w:rPr>
        <w:t xml:space="preserve"> </w:t>
      </w:r>
      <w:r w:rsidR="00277101" w:rsidRPr="00277101">
        <w:rPr>
          <w:rFonts w:ascii="Times New Roman" w:hAnsi="Times New Roman"/>
          <w:sz w:val="26"/>
          <w:szCs w:val="26"/>
        </w:rPr>
        <w:t>Statements of Conformity</w:t>
      </w:r>
      <w:r w:rsidRPr="00E71DC1">
        <w:rPr>
          <w:rFonts w:ascii="Times New Roman" w:hAnsi="Times New Roman"/>
          <w:sz w:val="26"/>
          <w:szCs w:val="26"/>
        </w:rPr>
        <w:t>.</w:t>
      </w:r>
    </w:p>
    <w:p w14:paraId="02885B5A" w14:textId="77777777" w:rsidR="004D23BE" w:rsidRDefault="004D23BE" w:rsidP="00E81273">
      <w:pPr>
        <w:spacing w:after="0" w:line="240" w:lineRule="auto"/>
        <w:ind w:firstLine="709"/>
        <w:jc w:val="both"/>
        <w:rPr>
          <w:rFonts w:ascii="Times New Roman" w:hAnsi="Times New Roman"/>
          <w:sz w:val="26"/>
          <w:szCs w:val="26"/>
        </w:rPr>
      </w:pPr>
    </w:p>
    <w:p w14:paraId="44252E89" w14:textId="77777777" w:rsidR="00F124B8" w:rsidRPr="00A67BB5" w:rsidRDefault="00CC707B" w:rsidP="00E81273">
      <w:pPr>
        <w:spacing w:after="0" w:line="240" w:lineRule="auto"/>
        <w:ind w:firstLine="709"/>
        <w:jc w:val="both"/>
        <w:rPr>
          <w:rFonts w:ascii="Times New Roman" w:hAnsi="Times New Roman"/>
          <w:sz w:val="26"/>
          <w:szCs w:val="26"/>
        </w:rPr>
      </w:pPr>
      <w:r w:rsidRPr="00E71DC1">
        <w:rPr>
          <w:rFonts w:ascii="Times New Roman" w:hAnsi="Times New Roman"/>
          <w:sz w:val="26"/>
          <w:szCs w:val="26"/>
        </w:rPr>
        <w:t>Measurement uncertainty is a non-negative parameter that characterizes the dispersion of quantity values assigned to the measured quantity based on the information used.</w:t>
      </w:r>
    </w:p>
    <w:p w14:paraId="6177295E" w14:textId="77777777" w:rsidR="00CC707B" w:rsidRPr="00A67BB5" w:rsidRDefault="000C24B9" w:rsidP="00E81273">
      <w:pPr>
        <w:spacing w:after="0" w:line="240" w:lineRule="auto"/>
        <w:ind w:firstLine="709"/>
        <w:jc w:val="both"/>
        <w:rPr>
          <w:rFonts w:ascii="Times New Roman" w:hAnsi="Times New Roman"/>
          <w:sz w:val="26"/>
          <w:szCs w:val="26"/>
        </w:rPr>
      </w:pPr>
      <w:r w:rsidRPr="00A67BB5">
        <w:rPr>
          <w:rFonts w:ascii="Times New Roman" w:hAnsi="Times New Roman"/>
          <w:sz w:val="26"/>
          <w:szCs w:val="26"/>
        </w:rPr>
        <w:t>Calibration and testing laboratories must be aware of the accuracy characteristics of their calibration and test methods and apply procedures for assessing measurement uncertainty in relation to the quantitative measurement methods included in their scope of accreditation.</w:t>
      </w:r>
    </w:p>
    <w:p w14:paraId="337AE5B3" w14:textId="77777777" w:rsidR="007F311B" w:rsidRPr="00A67BB5" w:rsidRDefault="00EF7346" w:rsidP="00E81273">
      <w:pPr>
        <w:tabs>
          <w:tab w:val="left" w:pos="651"/>
        </w:tabs>
        <w:spacing w:before="240" w:after="0" w:line="240" w:lineRule="auto"/>
        <w:ind w:firstLine="709"/>
        <w:jc w:val="both"/>
        <w:rPr>
          <w:rFonts w:ascii="Times New Roman" w:hAnsi="Times New Roman"/>
          <w:sz w:val="26"/>
          <w:szCs w:val="26"/>
        </w:rPr>
      </w:pPr>
      <w:r w:rsidRPr="00182448">
        <w:rPr>
          <w:rFonts w:ascii="Times New Roman" w:hAnsi="Times New Roman"/>
          <w:b/>
          <w:sz w:val="26"/>
          <w:szCs w:val="26"/>
        </w:rPr>
        <w:t xml:space="preserve">1 </w:t>
      </w:r>
      <w:r w:rsidRPr="00A67BB5">
        <w:rPr>
          <w:rFonts w:ascii="Times New Roman" w:hAnsi="Times New Roman"/>
          <w:sz w:val="26"/>
          <w:szCs w:val="26"/>
        </w:rPr>
        <w:t>BSCA assesses the competence of its accredited calibration and testing laboratories in performing measurement uncertainty assessments for calibrations and tests included in their scope of accreditation, excluding non-quantitative methods.</w:t>
      </w:r>
    </w:p>
    <w:p w14:paraId="0CCAC2BF" w14:textId="77777777" w:rsidR="007F311B" w:rsidRDefault="00EF7346" w:rsidP="00E81273">
      <w:pPr>
        <w:tabs>
          <w:tab w:val="left" w:pos="651"/>
        </w:tabs>
        <w:spacing w:before="240" w:after="0" w:line="240" w:lineRule="auto"/>
        <w:ind w:firstLine="709"/>
        <w:jc w:val="both"/>
        <w:rPr>
          <w:rFonts w:ascii="Times New Roman" w:hAnsi="Times New Roman"/>
          <w:sz w:val="26"/>
          <w:szCs w:val="26"/>
        </w:rPr>
      </w:pPr>
      <w:r w:rsidRPr="00182448">
        <w:rPr>
          <w:rFonts w:ascii="Times New Roman" w:hAnsi="Times New Roman"/>
          <w:b/>
          <w:sz w:val="26"/>
          <w:szCs w:val="26"/>
        </w:rPr>
        <w:t xml:space="preserve">2 </w:t>
      </w:r>
      <w:r w:rsidRPr="00A67BB5">
        <w:rPr>
          <w:rFonts w:ascii="Times New Roman" w:hAnsi="Times New Roman"/>
          <w:sz w:val="26"/>
          <w:szCs w:val="26"/>
        </w:rPr>
        <w:t xml:space="preserve">When conducting a competency assessment, the BSCA must ensure that accredited calibration laboratories conduct measurement uncertainty assessments in accordance with the Guide to the Expression of Uncertainty of Measurement (GUM) and/or </w:t>
      </w:r>
      <w:hyperlink r:id="rId11" w:tgtFrame="_blank" w:history="1">
        <w:r w:rsidR="0015408D" w:rsidRPr="00E71DC1">
          <w:rPr>
            <w:rFonts w:ascii="Times New Roman" w:hAnsi="Times New Roman"/>
            <w:sz w:val="26"/>
            <w:szCs w:val="26"/>
          </w:rPr>
          <w:t xml:space="preserve">GOST ISO Guide 35-2015 </w:t>
        </w:r>
      </w:hyperlink>
      <w:r w:rsidR="00B76130" w:rsidRPr="00A67BB5">
        <w:rPr>
          <w:rFonts w:ascii="Times New Roman" w:hAnsi="Times New Roman"/>
          <w:sz w:val="26"/>
          <w:szCs w:val="26"/>
        </w:rPr>
        <w:t>.</w:t>
      </w:r>
    </w:p>
    <w:p w14:paraId="599DCE23" w14:textId="77777777" w:rsidR="007F311B" w:rsidRDefault="006552A4" w:rsidP="00E81273">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As a document agreed with GUM and harmonized with </w:t>
      </w:r>
      <w:r w:rsidRPr="00A67BB5">
        <w:rPr>
          <w:rFonts w:ascii="Times New Roman" w:hAnsi="Times New Roman"/>
          <w:sz w:val="26"/>
          <w:szCs w:val="26"/>
          <w:lang w:val="en-US"/>
        </w:rPr>
        <w:t xml:space="preserve">ILAC </w:t>
      </w:r>
      <w:r>
        <w:rPr>
          <w:rFonts w:ascii="Times New Roman" w:hAnsi="Times New Roman"/>
          <w:sz w:val="26"/>
          <w:szCs w:val="26"/>
        </w:rPr>
        <w:t xml:space="preserve">- </w:t>
      </w:r>
      <w:r w:rsidRPr="00A67BB5">
        <w:rPr>
          <w:rFonts w:ascii="Times New Roman" w:hAnsi="Times New Roman"/>
          <w:sz w:val="26"/>
          <w:szCs w:val="26"/>
          <w:lang w:val="en-US"/>
        </w:rPr>
        <w:t xml:space="preserve">P </w:t>
      </w:r>
      <w:r w:rsidRPr="00A67BB5">
        <w:rPr>
          <w:rFonts w:ascii="Times New Roman" w:hAnsi="Times New Roman"/>
          <w:sz w:val="26"/>
          <w:szCs w:val="26"/>
        </w:rPr>
        <w:t xml:space="preserve">14:09, </w:t>
      </w:r>
      <w:r w:rsidRPr="00C90FD0">
        <w:rPr>
          <w:rFonts w:ascii="Times New Roman" w:hAnsi="Times New Roman"/>
          <w:sz w:val="26"/>
          <w:szCs w:val="26"/>
          <w:lang w:val="en-US"/>
        </w:rPr>
        <w:t xml:space="preserve">EA </w:t>
      </w:r>
      <w:r w:rsidRPr="00C90FD0">
        <w:rPr>
          <w:rFonts w:ascii="Times New Roman" w:hAnsi="Times New Roman"/>
          <w:sz w:val="26"/>
          <w:szCs w:val="26"/>
        </w:rPr>
        <w:t xml:space="preserve">-4/02 </w:t>
      </w:r>
      <w:r w:rsidRPr="00C90FD0">
        <w:rPr>
          <w:rFonts w:ascii="Times New Roman" w:hAnsi="Times New Roman"/>
          <w:sz w:val="26"/>
          <w:szCs w:val="26"/>
          <w:lang w:val="en-US"/>
        </w:rPr>
        <w:t xml:space="preserve">M </w:t>
      </w:r>
      <w:r w:rsidR="006A56AA">
        <w:rPr>
          <w:rFonts w:ascii="Times New Roman" w:hAnsi="Times New Roman"/>
          <w:sz w:val="26"/>
          <w:szCs w:val="26"/>
        </w:rPr>
        <w:t xml:space="preserve">, BSCA applies STB 8077-2017 (EA-4/02 M:2022, NEQ) (ILAC-P14:09/2020 , NEQ) in developing mandatory criteria and practical recommendations to ensure that BSCA accredited laboratories performing calibration activities assess measurement uncertainty in accordance with GUM ( </w:t>
      </w:r>
      <w:hyperlink r:id="rId12" w:anchor="!/DocumentCard/379098/521347" w:history="1">
        <w:r w:rsidR="006A0861" w:rsidRPr="00E71DC1">
          <w:rPr>
            <w:rFonts w:ascii="Times New Roman" w:hAnsi="Times New Roman"/>
            <w:sz w:val="26"/>
            <w:szCs w:val="26"/>
          </w:rPr>
          <w:t xml:space="preserve">GOST 34100.3-2017/ISO/IEC Guide 98-3:2008 </w:t>
        </w:r>
      </w:hyperlink>
      <w:r w:rsidR="007F311B" w:rsidRPr="00E71DC1">
        <w:rPr>
          <w:rFonts w:ascii="Times New Roman" w:hAnsi="Times New Roman"/>
          <w:sz w:val="26"/>
          <w:szCs w:val="26"/>
        </w:rPr>
        <w:t xml:space="preserve">) </w:t>
      </w:r>
      <w:r w:rsidR="00EA05A8">
        <w:rPr>
          <w:rStyle w:val="afa"/>
          <w:rFonts w:ascii="Times New Roman" w:hAnsi="Times New Roman"/>
          <w:sz w:val="26"/>
          <w:szCs w:val="26"/>
        </w:rPr>
        <w:footnoteReference w:id="1"/>
      </w:r>
      <w:r w:rsidR="007F311B" w:rsidRPr="00E71DC1">
        <w:rPr>
          <w:rFonts w:ascii="Times New Roman" w:hAnsi="Times New Roman"/>
          <w:sz w:val="26"/>
          <w:szCs w:val="26"/>
        </w:rPr>
        <w:t>as this is required by policy ILAC-P14:09.</w:t>
      </w:r>
    </w:p>
    <w:p w14:paraId="15F9E9C3" w14:textId="77777777" w:rsidR="00D91E0B" w:rsidRDefault="00D91E0B" w:rsidP="004E7270">
      <w:pPr>
        <w:shd w:val="clear" w:color="auto" w:fill="FFFFFF"/>
        <w:spacing w:after="0" w:line="240" w:lineRule="auto"/>
        <w:ind w:firstLine="567"/>
        <w:jc w:val="both"/>
        <w:rPr>
          <w:rFonts w:ascii="Times New Roman" w:hAnsi="Times New Roman"/>
          <w:sz w:val="26"/>
          <w:szCs w:val="26"/>
        </w:rPr>
      </w:pPr>
    </w:p>
    <w:p w14:paraId="7A63C765" w14:textId="77777777" w:rsidR="00996B90" w:rsidRPr="00ED0DF0" w:rsidRDefault="003977FC" w:rsidP="00E81273">
      <w:pPr>
        <w:tabs>
          <w:tab w:val="left" w:pos="651"/>
        </w:tabs>
        <w:spacing w:before="120" w:after="0" w:line="240" w:lineRule="auto"/>
        <w:ind w:firstLine="709"/>
        <w:jc w:val="both"/>
        <w:rPr>
          <w:rFonts w:ascii="Times New Roman" w:hAnsi="Times New Roman"/>
          <w:b/>
          <w:sz w:val="26"/>
          <w:szCs w:val="26"/>
        </w:rPr>
      </w:pPr>
      <w:r w:rsidRPr="00ED0DF0">
        <w:rPr>
          <w:rFonts w:ascii="Times New Roman" w:hAnsi="Times New Roman"/>
          <w:b/>
          <w:sz w:val="26"/>
          <w:szCs w:val="26"/>
        </w:rPr>
        <w:t xml:space="preserve">3 </w:t>
      </w:r>
      <w:r w:rsidR="00996B90" w:rsidRPr="00ED0DF0">
        <w:rPr>
          <w:rFonts w:ascii="Times New Roman" w:hAnsi="Times New Roman"/>
          <w:b/>
          <w:sz w:val="26"/>
          <w:szCs w:val="26"/>
        </w:rPr>
        <w:t>Formation of the scope of accreditation of calibration laboratories</w:t>
      </w:r>
    </w:p>
    <w:p w14:paraId="60E55B03" w14:textId="5ACD4772" w:rsidR="00EF7346" w:rsidRPr="00A67BB5" w:rsidRDefault="00996B90" w:rsidP="00E81273">
      <w:pPr>
        <w:tabs>
          <w:tab w:val="left" w:pos="651"/>
        </w:tabs>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 xml:space="preserve">3.1 </w:t>
      </w:r>
      <w:r w:rsidRPr="00A67BB5">
        <w:rPr>
          <w:rFonts w:ascii="Times New Roman" w:hAnsi="Times New Roman"/>
          <w:sz w:val="26"/>
          <w:szCs w:val="26"/>
        </w:rPr>
        <w:t>The scope of accreditation of a BSCA-accredited calibration laboratory includes calibration and measurement capabilities available to customers under normal conditions (</w:t>
      </w:r>
      <w:r w:rsidR="00DE0E72">
        <w:rPr>
          <w:rFonts w:ascii="Times New Roman" w:hAnsi="Times New Roman"/>
          <w:sz w:val="26"/>
          <w:szCs w:val="26"/>
          <w:lang w:val="en-US"/>
        </w:rPr>
        <w:t>CMC</w:t>
      </w:r>
      <w:r w:rsidR="00EF7346" w:rsidRPr="00A67BB5">
        <w:rPr>
          <w:rFonts w:ascii="Times New Roman" w:hAnsi="Times New Roman"/>
          <w:sz w:val="26"/>
          <w:szCs w:val="26"/>
        </w:rPr>
        <w:t>) in the form of:</w:t>
      </w:r>
    </w:p>
    <w:p w14:paraId="59E15C87" w14:textId="77777777" w:rsidR="00EF7346" w:rsidRPr="00A67BB5" w:rsidRDefault="00B32CE2" w:rsidP="00E81273">
      <w:pPr>
        <w:numPr>
          <w:ilvl w:val="0"/>
          <w:numId w:val="18"/>
        </w:numPr>
        <w:tabs>
          <w:tab w:val="left" w:pos="1134"/>
        </w:tabs>
        <w:spacing w:after="0" w:line="240" w:lineRule="auto"/>
        <w:ind w:left="0" w:firstLine="709"/>
        <w:jc w:val="both"/>
        <w:rPr>
          <w:rFonts w:ascii="Times New Roman" w:hAnsi="Times New Roman"/>
          <w:sz w:val="26"/>
          <w:szCs w:val="26"/>
        </w:rPr>
      </w:pPr>
      <w:r w:rsidRPr="00A67BB5">
        <w:rPr>
          <w:rFonts w:ascii="Times New Roman" w:hAnsi="Times New Roman"/>
          <w:sz w:val="26"/>
          <w:szCs w:val="26"/>
        </w:rPr>
        <w:t xml:space="preserve">codes of objects/types of calibration and names of measured quantities </w:t>
      </w:r>
      <w:r w:rsidR="00731E81" w:rsidRPr="00A67BB5">
        <w:rPr>
          <w:rFonts w:ascii="Times New Roman" w:hAnsi="Times New Roman"/>
          <w:i/>
          <w:sz w:val="26"/>
          <w:szCs w:val="26"/>
        </w:rPr>
        <w:t>/standard samples;</w:t>
      </w:r>
    </w:p>
    <w:p w14:paraId="35A78A19" w14:textId="77777777" w:rsidR="00B32CE2" w:rsidRPr="00A67BB5" w:rsidRDefault="00B32CE2" w:rsidP="00E81273">
      <w:pPr>
        <w:numPr>
          <w:ilvl w:val="0"/>
          <w:numId w:val="18"/>
        </w:numPr>
        <w:tabs>
          <w:tab w:val="left" w:pos="1134"/>
        </w:tabs>
        <w:spacing w:after="0" w:line="240" w:lineRule="auto"/>
        <w:ind w:left="0" w:firstLine="709"/>
        <w:jc w:val="both"/>
        <w:rPr>
          <w:rFonts w:ascii="Times New Roman" w:hAnsi="Times New Roman"/>
          <w:sz w:val="26"/>
          <w:szCs w:val="26"/>
        </w:rPr>
      </w:pPr>
      <w:r w:rsidRPr="00A67BB5">
        <w:rPr>
          <w:rFonts w:ascii="Times New Roman" w:hAnsi="Times New Roman"/>
          <w:sz w:val="26"/>
          <w:szCs w:val="26"/>
        </w:rPr>
        <w:t xml:space="preserve">calibration objects (names of measuring instruments/ </w:t>
      </w:r>
      <w:r w:rsidR="00731E81" w:rsidRPr="00A67BB5">
        <w:rPr>
          <w:rFonts w:ascii="Times New Roman" w:hAnsi="Times New Roman"/>
          <w:i/>
          <w:sz w:val="26"/>
          <w:szCs w:val="26"/>
        </w:rPr>
        <w:t xml:space="preserve">material </w:t>
      </w:r>
      <w:r w:rsidR="00C918CF" w:rsidRPr="00A67BB5">
        <w:rPr>
          <w:rFonts w:ascii="Times New Roman" w:hAnsi="Times New Roman"/>
          <w:sz w:val="26"/>
          <w:szCs w:val="26"/>
        </w:rPr>
        <w:t xml:space="preserve">subject to calibration </w:t>
      </w:r>
      <w:r w:rsidR="00731E81" w:rsidRPr="00A67BB5">
        <w:rPr>
          <w:rFonts w:ascii="Times New Roman" w:hAnsi="Times New Roman"/>
          <w:i/>
          <w:sz w:val="26"/>
          <w:szCs w:val="26"/>
        </w:rPr>
        <w:t>/measurement);</w:t>
      </w:r>
    </w:p>
    <w:p w14:paraId="7769BFDD" w14:textId="77777777" w:rsidR="00B32CE2" w:rsidRPr="00A67BB5" w:rsidRDefault="00B32CE2" w:rsidP="00E81273">
      <w:pPr>
        <w:numPr>
          <w:ilvl w:val="0"/>
          <w:numId w:val="18"/>
        </w:numPr>
        <w:tabs>
          <w:tab w:val="left" w:pos="1134"/>
        </w:tabs>
        <w:spacing w:after="0" w:line="240" w:lineRule="auto"/>
        <w:ind w:left="0" w:firstLine="709"/>
        <w:jc w:val="both"/>
        <w:rPr>
          <w:rFonts w:ascii="Times New Roman" w:hAnsi="Times New Roman"/>
          <w:sz w:val="26"/>
          <w:szCs w:val="26"/>
        </w:rPr>
      </w:pPr>
      <w:r w:rsidRPr="00A67BB5">
        <w:rPr>
          <w:rFonts w:ascii="Times New Roman" w:hAnsi="Times New Roman"/>
          <w:sz w:val="26"/>
          <w:szCs w:val="26"/>
        </w:rPr>
        <w:lastRenderedPageBreak/>
        <w:t>measurement range and, if necessary, additional parameters (for example, frequency of applied voltage);</w:t>
      </w:r>
    </w:p>
    <w:p w14:paraId="2EF278DF" w14:textId="77777777" w:rsidR="006E11F8" w:rsidRPr="00A67BB5" w:rsidRDefault="00B76130" w:rsidP="00E81273">
      <w:pPr>
        <w:numPr>
          <w:ilvl w:val="0"/>
          <w:numId w:val="18"/>
        </w:numPr>
        <w:tabs>
          <w:tab w:val="left" w:pos="1134"/>
        </w:tabs>
        <w:spacing w:after="0" w:line="240" w:lineRule="auto"/>
        <w:ind w:left="0" w:firstLine="709"/>
        <w:jc w:val="both"/>
        <w:rPr>
          <w:rFonts w:ascii="Times New Roman" w:hAnsi="Times New Roman"/>
          <w:sz w:val="26"/>
          <w:szCs w:val="26"/>
        </w:rPr>
      </w:pPr>
      <w:r w:rsidRPr="00A67BB5">
        <w:rPr>
          <w:rFonts w:ascii="Times New Roman" w:hAnsi="Times New Roman"/>
          <w:sz w:val="26"/>
          <w:szCs w:val="26"/>
        </w:rPr>
        <w:t>expanded measurement uncertainty U with a certain coverage coefficient and coverage probability;</w:t>
      </w:r>
    </w:p>
    <w:p w14:paraId="2713D8F5" w14:textId="77777777" w:rsidR="00A411F9" w:rsidRPr="00A67BB5" w:rsidRDefault="006E11F8" w:rsidP="00E81273">
      <w:pPr>
        <w:numPr>
          <w:ilvl w:val="0"/>
          <w:numId w:val="18"/>
        </w:numPr>
        <w:tabs>
          <w:tab w:val="left" w:pos="1134"/>
        </w:tabs>
        <w:spacing w:after="0" w:line="240" w:lineRule="auto"/>
        <w:ind w:left="0" w:firstLine="709"/>
        <w:jc w:val="both"/>
        <w:rPr>
          <w:rFonts w:ascii="Times New Roman" w:hAnsi="Times New Roman"/>
          <w:sz w:val="26"/>
          <w:szCs w:val="26"/>
        </w:rPr>
      </w:pPr>
      <w:r w:rsidRPr="00A67BB5">
        <w:rPr>
          <w:rFonts w:ascii="Times New Roman" w:hAnsi="Times New Roman"/>
          <w:sz w:val="26"/>
          <w:szCs w:val="26"/>
        </w:rPr>
        <w:t xml:space="preserve">documents establishing calibration methods </w:t>
      </w:r>
      <w:r w:rsidR="00EA05A8">
        <w:rPr>
          <w:rStyle w:val="afa"/>
          <w:rFonts w:ascii="Times New Roman" w:hAnsi="Times New Roman"/>
          <w:sz w:val="26"/>
          <w:szCs w:val="26"/>
        </w:rPr>
        <w:footnoteReference w:id="2"/>
      </w:r>
      <w:r w:rsidR="00A411F9" w:rsidRPr="00A67BB5">
        <w:rPr>
          <w:rFonts w:ascii="Times New Roman" w:hAnsi="Times New Roman"/>
          <w:sz w:val="26"/>
          <w:szCs w:val="26"/>
        </w:rPr>
        <w:t>.</w:t>
      </w:r>
    </w:p>
    <w:p w14:paraId="3F76EF98" w14:textId="77777777" w:rsidR="00FB2B5A" w:rsidRDefault="00BC6840" w:rsidP="00E81273">
      <w:pPr>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 xml:space="preserve">3.2 </w:t>
      </w:r>
      <w:r w:rsidR="00344D31" w:rsidRPr="00A67BB5">
        <w:rPr>
          <w:rFonts w:ascii="Times New Roman" w:hAnsi="Times New Roman"/>
          <w:sz w:val="26"/>
          <w:szCs w:val="26"/>
        </w:rPr>
        <w:t>There shall be no ambiguity in the expression of the CMS in the field of accreditation and the smallest measurement uncertainty that can be achieved by the laboratory during the performance of calibrations or measurements.</w:t>
      </w:r>
    </w:p>
    <w:p w14:paraId="50D263B9" w14:textId="77777777" w:rsidR="00FD0D4C" w:rsidRDefault="006C0C5B" w:rsidP="00E81273">
      <w:pPr>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 xml:space="preserve">3.3 </w:t>
      </w:r>
      <w:r>
        <w:rPr>
          <w:rFonts w:ascii="Times New Roman" w:hAnsi="Times New Roman"/>
          <w:sz w:val="26"/>
          <w:szCs w:val="26"/>
        </w:rPr>
        <w:t>In cases where the quantity being measured is within a range of values or within a range of values, then one or more of the following methods shall be used to express uncertainty:</w:t>
      </w:r>
    </w:p>
    <w:p w14:paraId="32489151" w14:textId="77777777" w:rsidR="006860DE" w:rsidRPr="007D4C92" w:rsidRDefault="003D1878" w:rsidP="00E81273">
      <w:pPr>
        <w:numPr>
          <w:ilvl w:val="0"/>
          <w:numId w:val="19"/>
        </w:numPr>
        <w:tabs>
          <w:tab w:val="left" w:pos="651"/>
          <w:tab w:val="left" w:pos="1134"/>
        </w:tabs>
        <w:spacing w:after="0" w:line="240" w:lineRule="auto"/>
        <w:ind w:left="0" w:firstLine="709"/>
        <w:jc w:val="both"/>
        <w:rPr>
          <w:rFonts w:ascii="Times New Roman" w:hAnsi="Times New Roman"/>
          <w:sz w:val="26"/>
          <w:szCs w:val="26"/>
        </w:rPr>
      </w:pPr>
      <w:r w:rsidRPr="007D4C92">
        <w:rPr>
          <w:rFonts w:ascii="Times New Roman" w:hAnsi="Times New Roman"/>
          <w:sz w:val="26"/>
          <w:szCs w:val="26"/>
        </w:rPr>
        <w:t>a single value that is valid over the entire measurement range;</w:t>
      </w:r>
    </w:p>
    <w:p w14:paraId="24FB937D" w14:textId="77777777" w:rsidR="006860DE" w:rsidRPr="007D4C92" w:rsidRDefault="003D1878" w:rsidP="00E81273">
      <w:pPr>
        <w:numPr>
          <w:ilvl w:val="0"/>
          <w:numId w:val="19"/>
        </w:numPr>
        <w:tabs>
          <w:tab w:val="left" w:pos="0"/>
          <w:tab w:val="left" w:pos="1134"/>
        </w:tabs>
        <w:spacing w:after="0" w:line="240" w:lineRule="auto"/>
        <w:ind w:left="0" w:firstLine="709"/>
        <w:jc w:val="both"/>
        <w:rPr>
          <w:rFonts w:ascii="Times New Roman" w:hAnsi="Times New Roman"/>
          <w:sz w:val="26"/>
          <w:szCs w:val="26"/>
        </w:rPr>
      </w:pPr>
      <w:r w:rsidRPr="007D4C92">
        <w:rPr>
          <w:rFonts w:ascii="Times New Roman" w:hAnsi="Times New Roman"/>
          <w:sz w:val="26"/>
          <w:szCs w:val="26"/>
        </w:rPr>
        <w:t xml:space="preserve">measurement range. In such a case, the calibration laboratory must ensure that linear interpolation is appropriate </w:t>
      </w:r>
      <w:r w:rsidR="007166B4">
        <w:rPr>
          <w:rStyle w:val="afa"/>
          <w:rFonts w:ascii="Times New Roman" w:hAnsi="Times New Roman"/>
          <w:sz w:val="26"/>
          <w:szCs w:val="26"/>
        </w:rPr>
        <w:footnoteReference w:id="3"/>
      </w:r>
      <w:r w:rsidRPr="007D4C92">
        <w:rPr>
          <w:rFonts w:ascii="Times New Roman" w:hAnsi="Times New Roman"/>
          <w:sz w:val="26"/>
          <w:szCs w:val="26"/>
        </w:rPr>
        <w:t>to find the uncertainty at intermediate values;</w:t>
      </w:r>
    </w:p>
    <w:p w14:paraId="6255EBB0" w14:textId="77777777" w:rsidR="006860DE" w:rsidRPr="007D4C92" w:rsidRDefault="003D1878" w:rsidP="00E81273">
      <w:pPr>
        <w:numPr>
          <w:ilvl w:val="0"/>
          <w:numId w:val="19"/>
        </w:numPr>
        <w:tabs>
          <w:tab w:val="left" w:pos="651"/>
          <w:tab w:val="left" w:pos="1134"/>
        </w:tabs>
        <w:spacing w:after="0" w:line="240" w:lineRule="auto"/>
        <w:ind w:left="0" w:firstLine="709"/>
        <w:jc w:val="both"/>
        <w:rPr>
          <w:rFonts w:ascii="Times New Roman" w:hAnsi="Times New Roman"/>
          <w:sz w:val="26"/>
          <w:szCs w:val="26"/>
        </w:rPr>
      </w:pPr>
      <w:r w:rsidRPr="007D4C92">
        <w:rPr>
          <w:rFonts w:ascii="Times New Roman" w:hAnsi="Times New Roman"/>
          <w:sz w:val="26"/>
          <w:szCs w:val="26"/>
        </w:rPr>
        <w:t>explicit function of the measured quantity and/or parameter;</w:t>
      </w:r>
    </w:p>
    <w:p w14:paraId="153FB181" w14:textId="77777777" w:rsidR="006860DE" w:rsidRPr="007D4C92" w:rsidRDefault="003D1878" w:rsidP="00E81273">
      <w:pPr>
        <w:numPr>
          <w:ilvl w:val="0"/>
          <w:numId w:val="19"/>
        </w:numPr>
        <w:tabs>
          <w:tab w:val="left" w:pos="651"/>
          <w:tab w:val="left" w:pos="1134"/>
        </w:tabs>
        <w:spacing w:after="0" w:line="240" w:lineRule="auto"/>
        <w:ind w:left="0" w:firstLine="709"/>
        <w:jc w:val="both"/>
        <w:rPr>
          <w:rFonts w:ascii="Times New Roman" w:hAnsi="Times New Roman"/>
          <w:sz w:val="26"/>
          <w:szCs w:val="26"/>
        </w:rPr>
      </w:pPr>
      <w:r w:rsidRPr="007D4C92">
        <w:rPr>
          <w:rFonts w:ascii="Times New Roman" w:hAnsi="Times New Roman"/>
          <w:sz w:val="26"/>
          <w:szCs w:val="26"/>
        </w:rPr>
        <w:t>a matrix where the uncertainty values depend on the values of the measured quantity and additional parameters;</w:t>
      </w:r>
    </w:p>
    <w:p w14:paraId="4789714A" w14:textId="77777777" w:rsidR="006860DE" w:rsidRPr="00A67BB5" w:rsidRDefault="003D1878" w:rsidP="00E81273">
      <w:pPr>
        <w:numPr>
          <w:ilvl w:val="0"/>
          <w:numId w:val="19"/>
        </w:numPr>
        <w:tabs>
          <w:tab w:val="left" w:pos="651"/>
          <w:tab w:val="left" w:pos="1134"/>
        </w:tabs>
        <w:spacing w:after="0" w:line="240" w:lineRule="auto"/>
        <w:ind w:left="0" w:firstLine="709"/>
        <w:jc w:val="both"/>
        <w:rPr>
          <w:rFonts w:ascii="Times New Roman" w:hAnsi="Times New Roman"/>
          <w:sz w:val="26"/>
          <w:szCs w:val="26"/>
        </w:rPr>
      </w:pPr>
      <w:r w:rsidRPr="007D4C92">
        <w:rPr>
          <w:rFonts w:ascii="Times New Roman" w:hAnsi="Times New Roman"/>
          <w:sz w:val="26"/>
          <w:szCs w:val="26"/>
        </w:rPr>
        <w:t>a graphical representation that provides resolution on each coordinate axis to provide at least two significant figures of uncertainty.</w:t>
      </w:r>
    </w:p>
    <w:p w14:paraId="7ECBEC09" w14:textId="103AC08D" w:rsidR="00A72D45" w:rsidRPr="007D4C92" w:rsidRDefault="003D1878" w:rsidP="00E81273">
      <w:pPr>
        <w:tabs>
          <w:tab w:val="left" w:pos="651"/>
        </w:tabs>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3.4</w:t>
      </w:r>
      <w:r>
        <w:rPr>
          <w:rFonts w:ascii="Times New Roman" w:hAnsi="Times New Roman"/>
          <w:sz w:val="26"/>
          <w:szCs w:val="26"/>
        </w:rPr>
        <w:t xml:space="preserve"> </w:t>
      </w:r>
      <w:r w:rsidRPr="007D4C92">
        <w:rPr>
          <w:rFonts w:ascii="Times New Roman" w:eastAsia="ArialMT" w:hAnsi="Times New Roman"/>
          <w:color w:val="000000"/>
          <w:sz w:val="26"/>
          <w:szCs w:val="26"/>
        </w:rPr>
        <w:t xml:space="preserve">Open intervals (for example, "0&lt;U&lt;x" or "for a </w:t>
      </w:r>
      <w:r w:rsidRPr="007D4C92">
        <w:rPr>
          <w:rFonts w:ascii="Times New Roman" w:eastAsia="ArialMT" w:hAnsi="Times New Roman"/>
          <w:color w:val="000000"/>
          <w:sz w:val="26"/>
          <w:szCs w:val="26"/>
        </w:rPr>
        <w:br/>
        <w:t xml:space="preserve">resistance interval of 1 ohm to 100 ohms, the uncertainty is set to less than 2 µohm </w:t>
      </w:r>
      <w:r w:rsidR="00FB2B5A">
        <w:rPr>
          <w:rFonts w:ascii="Times New Roman" w:eastAsia="ArialMT" w:hAnsi="Times New Roman"/>
          <w:color w:val="000000"/>
          <w:sz w:val="26"/>
          <w:szCs w:val="26"/>
        </w:rPr>
        <w:t>/ohm") are not allowed in CMC expressions</w:t>
      </w:r>
      <w:r>
        <w:rPr>
          <w:rFonts w:ascii="Times New Roman" w:hAnsi="Times New Roman"/>
          <w:sz w:val="26"/>
          <w:szCs w:val="26"/>
        </w:rPr>
        <w:t>.</w:t>
      </w:r>
    </w:p>
    <w:p w14:paraId="702B1266" w14:textId="77777777" w:rsidR="00B77792" w:rsidRDefault="003D1878" w:rsidP="00E81273">
      <w:pPr>
        <w:tabs>
          <w:tab w:val="left" w:pos="651"/>
        </w:tabs>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 xml:space="preserve">3.5 </w:t>
      </w:r>
      <w:r>
        <w:rPr>
          <w:rFonts w:ascii="Times New Roman" w:hAnsi="Times New Roman"/>
          <w:sz w:val="26"/>
          <w:szCs w:val="26"/>
        </w:rPr>
        <w:t>The uncertainty included in the VMS should be expressed as an expanded uncertainty having a probability of coverage of approximately 95%.</w:t>
      </w:r>
    </w:p>
    <w:p w14:paraId="3F6DBA15" w14:textId="77777777" w:rsidR="00B77792" w:rsidRDefault="00B77792" w:rsidP="00E81273">
      <w:pPr>
        <w:tabs>
          <w:tab w:val="left" w:pos="651"/>
        </w:tabs>
        <w:spacing w:after="0" w:line="240" w:lineRule="auto"/>
        <w:ind w:firstLine="709"/>
        <w:jc w:val="both"/>
        <w:rPr>
          <w:rFonts w:ascii="Times New Roman" w:hAnsi="Times New Roman"/>
          <w:sz w:val="26"/>
          <w:szCs w:val="26"/>
        </w:rPr>
      </w:pPr>
    </w:p>
    <w:p w14:paraId="6F88882D" w14:textId="38F9966C" w:rsidR="009E3772" w:rsidRDefault="009E3772" w:rsidP="00E81273">
      <w:pPr>
        <w:tabs>
          <w:tab w:val="left" w:pos="651"/>
        </w:tabs>
        <w:spacing w:after="0" w:line="240" w:lineRule="auto"/>
        <w:ind w:firstLine="709"/>
        <w:jc w:val="both"/>
        <w:rPr>
          <w:rFonts w:ascii="Times New Roman" w:eastAsia="ArialMT" w:hAnsi="Times New Roman"/>
          <w:color w:val="000000"/>
          <w:sz w:val="26"/>
          <w:szCs w:val="26"/>
        </w:rPr>
      </w:pPr>
      <w:r w:rsidRPr="007D4C92">
        <w:rPr>
          <w:rFonts w:ascii="Times New Roman" w:hAnsi="Times New Roman"/>
          <w:sz w:val="26"/>
          <w:szCs w:val="26"/>
        </w:rPr>
        <w:t xml:space="preserve">The units </w:t>
      </w:r>
      <w:r w:rsidR="00436801">
        <w:rPr>
          <w:rFonts w:ascii="Times New Roman" w:hAnsi="Times New Roman"/>
          <w:sz w:val="26"/>
          <w:szCs w:val="26"/>
        </w:rPr>
        <w:t xml:space="preserve">of measurement of uncertainty, as a rule, must correspond to the units of the measured quantity or be relative to it (for example, %, </w:t>
      </w:r>
      <w:proofErr w:type="spellStart"/>
      <w:r w:rsidR="00436801">
        <w:rPr>
          <w:rFonts w:ascii="Times New Roman" w:hAnsi="Times New Roman"/>
          <w:sz w:val="26"/>
          <w:szCs w:val="26"/>
        </w:rPr>
        <w:t>μV</w:t>
      </w:r>
      <w:proofErr w:type="spellEnd"/>
      <w:r w:rsidR="00436801">
        <w:rPr>
          <w:rFonts w:ascii="Times New Roman" w:hAnsi="Times New Roman"/>
          <w:sz w:val="26"/>
          <w:szCs w:val="26"/>
        </w:rPr>
        <w:t xml:space="preserve">/V or dimensionless relative quantities, for example, </w:t>
      </w:r>
      <w:r w:rsidRPr="007D4C92">
        <w:rPr>
          <w:rFonts w:ascii="Times New Roman" w:hAnsi="Times New Roman"/>
          <w:sz w:val="26"/>
          <w:szCs w:val="26"/>
        </w:rPr>
        <w:t xml:space="preserve">10 </w:t>
      </w:r>
      <w:r w:rsidR="00EF37E5" w:rsidRPr="007D4C92">
        <w:rPr>
          <w:rFonts w:ascii="Times New Roman" w:hAnsi="Times New Roman"/>
          <w:sz w:val="26"/>
          <w:szCs w:val="26"/>
          <w:vertAlign w:val="superscript"/>
        </w:rPr>
        <w:t>-</w:t>
      </w:r>
      <w:proofErr w:type="gramStart"/>
      <w:r w:rsidR="00EF37E5" w:rsidRPr="007D4C92">
        <w:rPr>
          <w:rFonts w:ascii="Times New Roman" w:hAnsi="Times New Roman"/>
          <w:sz w:val="26"/>
          <w:szCs w:val="26"/>
          <w:vertAlign w:val="superscript"/>
        </w:rPr>
        <w:t xml:space="preserve">6 </w:t>
      </w:r>
      <w:r w:rsidRPr="007D4C92">
        <w:rPr>
          <w:rFonts w:ascii="Times New Roman" w:hAnsi="Times New Roman"/>
          <w:sz w:val="26"/>
          <w:szCs w:val="26"/>
        </w:rPr>
        <w:t>)</w:t>
      </w:r>
      <w:proofErr w:type="gramEnd"/>
      <w:r w:rsidRPr="007D4C92">
        <w:rPr>
          <w:rFonts w:ascii="Times New Roman" w:hAnsi="Times New Roman"/>
          <w:sz w:val="26"/>
          <w:szCs w:val="26"/>
        </w:rPr>
        <w:t xml:space="preserve">. Due to the ambiguity of definitions, the use of </w:t>
      </w:r>
      <w:r w:rsidR="00F1551E">
        <w:rPr>
          <w:rFonts w:ascii="Times New Roman" w:eastAsia="ArialMT" w:hAnsi="Times New Roman"/>
          <w:color w:val="000000"/>
          <w:sz w:val="26"/>
          <w:szCs w:val="26"/>
          <w:lang w:val="en-US"/>
        </w:rPr>
        <w:t xml:space="preserve">ppm </w:t>
      </w:r>
      <w:r w:rsidR="00F1551E">
        <w:rPr>
          <w:rFonts w:ascii="Times New Roman" w:eastAsia="ArialMT" w:hAnsi="Times New Roman"/>
          <w:color w:val="000000"/>
          <w:sz w:val="26"/>
          <w:szCs w:val="26"/>
        </w:rPr>
        <w:t xml:space="preserve">and </w:t>
      </w:r>
      <w:r w:rsidR="00F1551E">
        <w:rPr>
          <w:rFonts w:ascii="Times New Roman" w:eastAsia="ArialMT" w:hAnsi="Times New Roman"/>
          <w:color w:val="000000"/>
          <w:sz w:val="26"/>
          <w:szCs w:val="26"/>
          <w:lang w:val="en-US"/>
        </w:rPr>
        <w:t xml:space="preserve">ppb </w:t>
      </w:r>
      <w:r w:rsidR="00F1551E" w:rsidRPr="003D1878">
        <w:rPr>
          <w:rFonts w:ascii="Times New Roman" w:eastAsia="ArialMT" w:hAnsi="Times New Roman"/>
          <w:color w:val="000000"/>
          <w:sz w:val="26"/>
          <w:szCs w:val="26"/>
        </w:rPr>
        <w:t xml:space="preserve">is not recommended </w:t>
      </w:r>
      <w:r w:rsidR="00A85BFF">
        <w:rPr>
          <w:rStyle w:val="afa"/>
          <w:rFonts w:ascii="Times New Roman" w:eastAsia="ArialMT" w:hAnsi="Times New Roman"/>
          <w:color w:val="000000"/>
          <w:sz w:val="26"/>
          <w:szCs w:val="26"/>
        </w:rPr>
        <w:footnoteReference w:id="4"/>
      </w:r>
      <w:r w:rsidR="00F1551E" w:rsidRPr="003D1878">
        <w:rPr>
          <w:rFonts w:ascii="Times New Roman" w:hAnsi="Times New Roman"/>
          <w:sz w:val="26"/>
          <w:szCs w:val="26"/>
        </w:rPr>
        <w:t>.</w:t>
      </w:r>
    </w:p>
    <w:p w14:paraId="63DD0A4D" w14:textId="77777777" w:rsidR="003D1878" w:rsidRPr="007D4C92" w:rsidRDefault="00996B90" w:rsidP="00E81273">
      <w:pPr>
        <w:tabs>
          <w:tab w:val="left" w:pos="651"/>
        </w:tabs>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 xml:space="preserve">3.6 </w:t>
      </w:r>
      <w:r w:rsidR="00753814">
        <w:rPr>
          <w:rFonts w:ascii="Times New Roman" w:hAnsi="Times New Roman"/>
          <w:sz w:val="26"/>
          <w:szCs w:val="26"/>
        </w:rPr>
        <w:t>The stated CMCs must include components from the best available equipment to be calibrated so that the stated CMCs are readily implementable.</w:t>
      </w:r>
    </w:p>
    <w:p w14:paraId="31E111CD" w14:textId="77777777" w:rsidR="00C913F4" w:rsidRPr="00613E27" w:rsidRDefault="00C913F4" w:rsidP="00E81273">
      <w:pPr>
        <w:tabs>
          <w:tab w:val="left" w:pos="651"/>
        </w:tabs>
        <w:spacing w:after="0" w:line="240" w:lineRule="auto"/>
        <w:ind w:firstLine="709"/>
        <w:jc w:val="both"/>
        <w:rPr>
          <w:rFonts w:ascii="Times New Roman" w:eastAsia="ArialMT" w:hAnsi="Times New Roman"/>
          <w:i/>
          <w:iCs/>
          <w:color w:val="000000"/>
          <w:sz w:val="20"/>
          <w:szCs w:val="20"/>
        </w:rPr>
      </w:pPr>
      <w:r w:rsidRPr="00613E27">
        <w:rPr>
          <w:rFonts w:ascii="Times New Roman" w:eastAsia="ArialMT" w:hAnsi="Times New Roman"/>
          <w:i/>
          <w:iCs/>
          <w:color w:val="000000"/>
          <w:sz w:val="20"/>
          <w:szCs w:val="20"/>
        </w:rPr>
        <w:t>Note 1: The term “best available equipment” refers to the equipment to be calibrated that is commercially or otherwise available to purchasers, even if it has special characteristics (stability) or has a long calibration history.</w:t>
      </w:r>
    </w:p>
    <w:p w14:paraId="2274B98B" w14:textId="77777777" w:rsidR="00616F1F" w:rsidRPr="00613E27" w:rsidRDefault="00C913F4" w:rsidP="00E81273">
      <w:pPr>
        <w:tabs>
          <w:tab w:val="left" w:pos="651"/>
        </w:tabs>
        <w:spacing w:after="0" w:line="240" w:lineRule="auto"/>
        <w:ind w:firstLine="709"/>
        <w:jc w:val="both"/>
        <w:rPr>
          <w:rFonts w:ascii="Times New Roman" w:eastAsia="ArialMT" w:hAnsi="Times New Roman"/>
          <w:i/>
          <w:iCs/>
          <w:color w:val="000000"/>
          <w:sz w:val="20"/>
          <w:szCs w:val="20"/>
        </w:rPr>
      </w:pPr>
      <w:r w:rsidRPr="00613E27">
        <w:rPr>
          <w:rFonts w:ascii="Times New Roman" w:eastAsia="ArialMT" w:hAnsi="Times New Roman"/>
          <w:i/>
          <w:iCs/>
          <w:color w:val="000000"/>
          <w:sz w:val="20"/>
          <w:szCs w:val="20"/>
        </w:rPr>
        <w:t>Note 2: When it is possible that the best available equipment may have uncertainty contributions associated with repeatability equal to zero, this value may be used in estimating the CMC. However, it is necessary to include other fixed uncertainties associated with the best existing equipment.</w:t>
      </w:r>
    </w:p>
    <w:p w14:paraId="72FEDBB1" w14:textId="77777777" w:rsidR="00616F1F" w:rsidRPr="00613E27" w:rsidRDefault="00443B03" w:rsidP="00E81273">
      <w:pPr>
        <w:spacing w:after="0" w:line="240" w:lineRule="auto"/>
        <w:ind w:firstLine="709"/>
        <w:jc w:val="both"/>
        <w:rPr>
          <w:rFonts w:ascii="Times New Roman" w:eastAsia="ArialMT" w:hAnsi="Times New Roman"/>
          <w:i/>
          <w:iCs/>
          <w:color w:val="000000"/>
          <w:sz w:val="20"/>
          <w:szCs w:val="20"/>
        </w:rPr>
      </w:pPr>
      <w:r w:rsidRPr="00613E27">
        <w:rPr>
          <w:rFonts w:ascii="Times New Roman" w:eastAsia="ArialMT" w:hAnsi="Times New Roman"/>
          <w:i/>
          <w:iCs/>
          <w:color w:val="000000"/>
          <w:sz w:val="20"/>
          <w:szCs w:val="20"/>
        </w:rPr>
        <w:t>Note 3: In exceptional cases, such as the presence of a very limited number of CMCs in the KCDB, it is recognized that “best available equipment” does not exist and/or the uncertainty contributions attributed to the equipment may significantly influence the uncertainty. If such equipment contributions to uncertainty can be separated from other contributions, then such equipment contributions can be excluded from the CMC. However, in such a case, the scope of accreditation should clearly state that uncertainty contributions from equipment are not included.</w:t>
      </w:r>
    </w:p>
    <w:p w14:paraId="363EF91B" w14:textId="5A0C85B9" w:rsidR="00DF1D4A" w:rsidRPr="00DF1D4A" w:rsidRDefault="00EA6C9F" w:rsidP="00E81273">
      <w:pPr>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3.7</w:t>
      </w:r>
      <w:r w:rsidR="00DF1D4A" w:rsidRPr="00DF1D4A">
        <w:rPr>
          <w:rFonts w:ascii="Times New Roman" w:hAnsi="Times New Roman"/>
          <w:sz w:val="26"/>
          <w:szCs w:val="26"/>
        </w:rPr>
        <w:t xml:space="preserve"> </w:t>
      </w:r>
      <w:r w:rsidR="00DF1D4A" w:rsidRPr="007D4C92">
        <w:rPr>
          <w:rFonts w:ascii="Times New Roman" w:eastAsia="ArialMT" w:hAnsi="Times New Roman"/>
          <w:color w:val="000000"/>
          <w:sz w:val="26"/>
          <w:szCs w:val="26"/>
        </w:rPr>
        <w:t>In the case where the laboratory provides services for establishing (assigning) values of quantities to reference materials, the uncertainty included in the CMC should, as a rule, contain factors associated with the measurement procedure as it will be performed on the sample, i.e. Typical matrix effects, interference, etc. must be considered. The uncertainty included in the CMS generally does not include contributions arising from instability or heterogeneity of the sample/material. The CMC should be based on an analysis of the assigned method characteristics for stable and homogeneous samples</w:t>
      </w:r>
      <w:r w:rsidR="00BD3F11">
        <w:rPr>
          <w:rFonts w:ascii="Times New Roman" w:hAnsi="Times New Roman"/>
          <w:sz w:val="26"/>
          <w:szCs w:val="26"/>
        </w:rPr>
        <w:t>.</w:t>
      </w:r>
    </w:p>
    <w:p w14:paraId="28E7588D" w14:textId="77777777" w:rsidR="003D1878" w:rsidRPr="00B77792" w:rsidRDefault="003D1878" w:rsidP="00E81273">
      <w:pPr>
        <w:tabs>
          <w:tab w:val="left" w:pos="651"/>
        </w:tabs>
        <w:spacing w:after="0" w:line="240" w:lineRule="auto"/>
        <w:ind w:firstLine="709"/>
        <w:jc w:val="both"/>
        <w:rPr>
          <w:rFonts w:ascii="Times New Roman" w:eastAsia="ArialMT" w:hAnsi="Times New Roman"/>
          <w:i/>
          <w:iCs/>
          <w:color w:val="000000"/>
          <w:sz w:val="20"/>
          <w:szCs w:val="20"/>
        </w:rPr>
      </w:pPr>
      <w:r w:rsidRPr="00B77792">
        <w:rPr>
          <w:rFonts w:ascii="Times New Roman" w:eastAsia="ArialMT" w:hAnsi="Times New Roman"/>
          <w:i/>
          <w:iCs/>
          <w:color w:val="000000"/>
          <w:sz w:val="20"/>
          <w:szCs w:val="20"/>
        </w:rPr>
        <w:t>Note: The uncertainty described in the CMS when assigning values to reference materials is not identical to the uncertainty associated with the reference material provided by the reference material manufacturer. The expanded uncertainty of a certified reference material will generally be higher than the uncertainty described by the CMC assigned to the values of the reference material quantities.</w:t>
      </w:r>
    </w:p>
    <w:p w14:paraId="4E3CE799" w14:textId="77777777" w:rsidR="00A94A35" w:rsidRDefault="00A94A35" w:rsidP="00A94A35">
      <w:pPr>
        <w:pStyle w:val="af2"/>
      </w:pPr>
    </w:p>
    <w:p w14:paraId="118DB246" w14:textId="77777777" w:rsidR="00EF7346" w:rsidRPr="00A94A35" w:rsidRDefault="00FB57F1" w:rsidP="00A94A35">
      <w:pPr>
        <w:pStyle w:val="af2"/>
        <w:ind w:firstLine="708"/>
        <w:jc w:val="both"/>
        <w:rPr>
          <w:rFonts w:ascii="Times New Roman" w:hAnsi="Times New Roman"/>
          <w:b/>
          <w:bCs/>
          <w:sz w:val="26"/>
          <w:szCs w:val="26"/>
        </w:rPr>
      </w:pPr>
      <w:r w:rsidRPr="00A94A35">
        <w:rPr>
          <w:rFonts w:ascii="Times New Roman" w:hAnsi="Times New Roman"/>
          <w:b/>
          <w:bCs/>
          <w:sz w:val="26"/>
          <w:szCs w:val="26"/>
        </w:rPr>
        <w:t>4 BSCA policy on indicating measurement uncertainty in calibration certificates</w:t>
      </w:r>
    </w:p>
    <w:p w14:paraId="03FCEB2B" w14:textId="77777777" w:rsidR="003D1878" w:rsidRPr="007D4C92" w:rsidRDefault="007A52D3" w:rsidP="00E81273">
      <w:pPr>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 xml:space="preserve">4.1 </w:t>
      </w:r>
      <w:r w:rsidRPr="00C54519">
        <w:rPr>
          <w:rFonts w:ascii="Times New Roman" w:hAnsi="Times New Roman"/>
          <w:sz w:val="26"/>
          <w:szCs w:val="26"/>
        </w:rPr>
        <w:t xml:space="preserve">Accredited calibration laboratories in the calibration certificates they issue must present measurement uncertainty in accordance with the requirements of the </w:t>
      </w:r>
      <w:r w:rsidR="00F424C4">
        <w:rPr>
          <w:rFonts w:ascii="Times New Roman" w:hAnsi="Times New Roman"/>
          <w:sz w:val="26"/>
          <w:szCs w:val="26"/>
          <w:lang w:val="en-US"/>
        </w:rPr>
        <w:t xml:space="preserve">GUM Guide </w:t>
      </w:r>
      <w:r w:rsidR="00170282">
        <w:rPr>
          <w:rFonts w:ascii="Times New Roman" w:hAnsi="Times New Roman"/>
          <w:sz w:val="26"/>
          <w:szCs w:val="26"/>
        </w:rPr>
        <w:t xml:space="preserve">, paragraphs 4.2 - 4.6 of this Policy, and, in the case of calibration of measuring instruments for the purpose of their application in the field of legal metrology and use in accredited testing laboratories (centers), declare the compliance of the measuring instrument based on calibration results with mandatory metrological requirements </w:t>
      </w:r>
      <w:r w:rsidR="00F44264">
        <w:rPr>
          <w:rStyle w:val="afa"/>
          <w:rFonts w:ascii="Times New Roman" w:hAnsi="Times New Roman"/>
          <w:sz w:val="26"/>
          <w:szCs w:val="26"/>
        </w:rPr>
        <w:footnoteReference w:id="5"/>
      </w:r>
      <w:r w:rsidR="00DF5D7C" w:rsidRPr="00C54519">
        <w:rPr>
          <w:rFonts w:ascii="Times New Roman" w:hAnsi="Times New Roman"/>
          <w:sz w:val="26"/>
          <w:szCs w:val="26"/>
        </w:rPr>
        <w:t>).</w:t>
      </w:r>
    </w:p>
    <w:p w14:paraId="18D68BE4" w14:textId="77777777" w:rsidR="00EF7346" w:rsidRPr="00A67BB5" w:rsidRDefault="00DD2E52" w:rsidP="00E81273">
      <w:pPr>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 xml:space="preserve">4.2 The measurement result </w:t>
      </w:r>
      <w:r w:rsidR="00EF7346" w:rsidRPr="00A67BB5">
        <w:rPr>
          <w:rFonts w:ascii="Times New Roman" w:hAnsi="Times New Roman"/>
          <w:sz w:val="26"/>
          <w:szCs w:val="26"/>
        </w:rPr>
        <w:t xml:space="preserve">shall </w:t>
      </w:r>
      <w:r w:rsidRPr="00A67BB5">
        <w:rPr>
          <w:rFonts w:ascii="Times New Roman" w:hAnsi="Times New Roman"/>
          <w:sz w:val="26"/>
          <w:szCs w:val="26"/>
        </w:rPr>
        <w:t xml:space="preserve">include the value of the quantity </w:t>
      </w:r>
      <w:r w:rsidR="00C30F77" w:rsidRPr="00436801">
        <w:rPr>
          <w:rFonts w:ascii="Times New Roman" w:hAnsi="Times New Roman"/>
          <w:b/>
          <w:bCs/>
          <w:sz w:val="26"/>
          <w:szCs w:val="26"/>
        </w:rPr>
        <w:t xml:space="preserve">y </w:t>
      </w:r>
      <w:r w:rsidR="00EF7346" w:rsidRPr="00A67BB5">
        <w:rPr>
          <w:rFonts w:ascii="Times New Roman" w:hAnsi="Times New Roman"/>
          <w:b/>
          <w:sz w:val="26"/>
          <w:szCs w:val="26"/>
        </w:rPr>
        <w:t xml:space="preserve">and </w:t>
      </w:r>
      <w:r w:rsidR="00EF7346" w:rsidRPr="00A67BB5">
        <w:rPr>
          <w:rFonts w:ascii="Times New Roman" w:hAnsi="Times New Roman"/>
          <w:sz w:val="26"/>
          <w:szCs w:val="26"/>
        </w:rPr>
        <w:t xml:space="preserve">the associated expanded measurement uncertainty </w:t>
      </w:r>
      <w:r w:rsidR="00EF7346" w:rsidRPr="00A67BB5">
        <w:rPr>
          <w:rFonts w:ascii="Times New Roman" w:hAnsi="Times New Roman"/>
          <w:b/>
          <w:sz w:val="26"/>
          <w:szCs w:val="26"/>
        </w:rPr>
        <w:t xml:space="preserve">U. </w:t>
      </w:r>
      <w:r w:rsidR="00EF7346" w:rsidRPr="00A67BB5">
        <w:rPr>
          <w:rFonts w:ascii="Times New Roman" w:hAnsi="Times New Roman"/>
          <w:sz w:val="26"/>
          <w:szCs w:val="26"/>
        </w:rPr>
        <w:t xml:space="preserve">In the calibration certificate (certificate), the measurement result must be presented in the form y </w:t>
      </w:r>
      <w:r w:rsidR="00EF7346" w:rsidRPr="00A67BB5">
        <w:rPr>
          <w:rFonts w:ascii="Times New Roman" w:hAnsi="Times New Roman"/>
          <w:b/>
          <w:sz w:val="26"/>
          <w:szCs w:val="26"/>
        </w:rPr>
        <w:t xml:space="preserve">± U </w:t>
      </w:r>
      <w:r w:rsidR="00DF3562">
        <w:rPr>
          <w:rFonts w:ascii="Times New Roman" w:hAnsi="Times New Roman"/>
          <w:sz w:val="26"/>
          <w:szCs w:val="26"/>
        </w:rPr>
        <w:t xml:space="preserve">together with the units of measurement </w:t>
      </w:r>
      <w:r w:rsidR="00EF7346" w:rsidRPr="00A67BB5">
        <w:rPr>
          <w:rFonts w:ascii="Times New Roman" w:hAnsi="Times New Roman"/>
          <w:b/>
          <w:sz w:val="26"/>
          <w:szCs w:val="26"/>
        </w:rPr>
        <w:t xml:space="preserve">y </w:t>
      </w:r>
      <w:r w:rsidR="00EF7346" w:rsidRPr="00A67BB5">
        <w:rPr>
          <w:rFonts w:ascii="Times New Roman" w:hAnsi="Times New Roman"/>
          <w:sz w:val="26"/>
          <w:szCs w:val="26"/>
        </w:rPr>
        <w:t xml:space="preserve">and </w:t>
      </w:r>
      <w:r w:rsidR="00EF7346" w:rsidRPr="007D4C92">
        <w:rPr>
          <w:rFonts w:ascii="Times New Roman" w:hAnsi="Times New Roman"/>
          <w:b/>
          <w:sz w:val="26"/>
          <w:szCs w:val="26"/>
        </w:rPr>
        <w:t xml:space="preserve">U. The measurement result can be presented in the form of a table; if necessary, the relative expanded uncertainty </w:t>
      </w:r>
      <w:r w:rsidR="00EF7346" w:rsidRPr="00A67BB5">
        <w:rPr>
          <w:rFonts w:ascii="Times New Roman" w:hAnsi="Times New Roman"/>
          <w:b/>
          <w:sz w:val="26"/>
          <w:szCs w:val="26"/>
        </w:rPr>
        <w:t xml:space="preserve">U/|y| </w:t>
      </w:r>
      <w:r w:rsidR="00EF7346" w:rsidRPr="00A67BB5">
        <w:rPr>
          <w:rFonts w:ascii="Times New Roman" w:hAnsi="Times New Roman"/>
          <w:sz w:val="26"/>
          <w:szCs w:val="26"/>
        </w:rPr>
        <w:t>can also be given</w:t>
      </w:r>
      <w:proofErr w:type="gramStart"/>
      <w:r w:rsidR="00EF7346" w:rsidRPr="00A67BB5">
        <w:rPr>
          <w:rFonts w:ascii="Times New Roman" w:hAnsi="Times New Roman"/>
          <w:sz w:val="26"/>
          <w:szCs w:val="26"/>
        </w:rPr>
        <w:t>. .</w:t>
      </w:r>
      <w:proofErr w:type="gramEnd"/>
      <w:r w:rsidR="00EF7346" w:rsidRPr="00A67BB5">
        <w:rPr>
          <w:rFonts w:ascii="Times New Roman" w:hAnsi="Times New Roman"/>
          <w:sz w:val="26"/>
          <w:szCs w:val="26"/>
        </w:rPr>
        <w:t xml:space="preserve"> The calibration certificate must indicate the coverage factor and the probability of coverage. An explanatory note should be added to them as follows:</w:t>
      </w:r>
    </w:p>
    <w:p w14:paraId="79C1774D" w14:textId="77777777" w:rsidR="00EF7346" w:rsidRPr="00A67BB5" w:rsidRDefault="00EF7346" w:rsidP="00E81273">
      <w:pPr>
        <w:spacing w:after="0" w:line="240" w:lineRule="auto"/>
        <w:ind w:firstLine="709"/>
        <w:jc w:val="both"/>
        <w:rPr>
          <w:rFonts w:ascii="Times New Roman" w:hAnsi="Times New Roman"/>
          <w:sz w:val="26"/>
          <w:szCs w:val="26"/>
        </w:rPr>
      </w:pPr>
      <w:r w:rsidRPr="00A67BB5">
        <w:rPr>
          <w:rFonts w:ascii="Times New Roman" w:hAnsi="Times New Roman"/>
          <w:i/>
          <w:sz w:val="26"/>
          <w:szCs w:val="26"/>
        </w:rPr>
        <w:t xml:space="preserve">“The expanded uncertainty is obtained by multiplying the total standard uncertainty by the coverage factor k=____, corresponding to a probability of coverage approximately equal to ____% assuming a ___________ distribution. The assessment of measurement uncertainty is carried out in accordance with the Guide to the Expression of Uncertainty of Measurement </w:t>
      </w:r>
      <w:proofErr w:type="gramStart"/>
      <w:r w:rsidRPr="00A67BB5">
        <w:rPr>
          <w:rFonts w:ascii="Times New Roman" w:hAnsi="Times New Roman"/>
          <w:i/>
          <w:sz w:val="26"/>
          <w:szCs w:val="26"/>
        </w:rPr>
        <w:t xml:space="preserve">( </w:t>
      </w:r>
      <w:r w:rsidR="003317A2">
        <w:rPr>
          <w:rFonts w:ascii="Times New Roman" w:hAnsi="Times New Roman"/>
          <w:i/>
          <w:sz w:val="26"/>
          <w:szCs w:val="26"/>
          <w:lang w:val="en-US"/>
        </w:rPr>
        <w:t>GUM</w:t>
      </w:r>
      <w:proofErr w:type="gramEnd"/>
      <w:r w:rsidR="003317A2">
        <w:rPr>
          <w:rFonts w:ascii="Times New Roman" w:hAnsi="Times New Roman"/>
          <w:i/>
          <w:sz w:val="26"/>
          <w:szCs w:val="26"/>
          <w:lang w:val="en-US"/>
        </w:rPr>
        <w:t xml:space="preserve"> </w:t>
      </w:r>
      <w:r w:rsidR="003317A2">
        <w:rPr>
          <w:rFonts w:ascii="Times New Roman" w:hAnsi="Times New Roman"/>
          <w:i/>
          <w:sz w:val="26"/>
          <w:szCs w:val="26"/>
        </w:rPr>
        <w:t xml:space="preserve">) </w:t>
      </w:r>
      <w:r w:rsidRPr="00A67BB5">
        <w:rPr>
          <w:rFonts w:ascii="Times New Roman" w:hAnsi="Times New Roman"/>
          <w:sz w:val="26"/>
          <w:szCs w:val="26"/>
        </w:rPr>
        <w:t>."</w:t>
      </w:r>
    </w:p>
    <w:p w14:paraId="0E0ABE23" w14:textId="77777777" w:rsidR="00EF7346" w:rsidRPr="00AF2118" w:rsidRDefault="003D1878" w:rsidP="00E81273">
      <w:pPr>
        <w:spacing w:after="0" w:line="240" w:lineRule="auto"/>
        <w:ind w:firstLine="709"/>
        <w:jc w:val="both"/>
        <w:rPr>
          <w:rFonts w:ascii="Times New Roman" w:eastAsia="ArialMT" w:hAnsi="Times New Roman"/>
          <w:i/>
          <w:iCs/>
          <w:color w:val="000000"/>
          <w:sz w:val="20"/>
          <w:szCs w:val="20"/>
        </w:rPr>
      </w:pPr>
      <w:r w:rsidRPr="00AF2118">
        <w:rPr>
          <w:rFonts w:ascii="Times New Roman" w:eastAsia="ArialMT" w:hAnsi="Times New Roman"/>
          <w:i/>
          <w:iCs/>
          <w:color w:val="000000"/>
          <w:sz w:val="20"/>
          <w:szCs w:val="20"/>
        </w:rPr>
        <w:t>Note: Asymmetric uncertainties may require representation in a form other than y ± U. This also applies when the uncertainty is determined using Monte Carlo (transformation of distributions) or in logarithmic units.</w:t>
      </w:r>
    </w:p>
    <w:p w14:paraId="4D2CED40" w14:textId="77777777" w:rsidR="004B3689" w:rsidRPr="007D4C92" w:rsidRDefault="00DD2E52" w:rsidP="00E81273">
      <w:pPr>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4.3</w:t>
      </w:r>
      <w:r w:rsidR="00C30F77">
        <w:rPr>
          <w:rFonts w:ascii="Times New Roman" w:hAnsi="Times New Roman"/>
          <w:sz w:val="26"/>
          <w:szCs w:val="26"/>
        </w:rPr>
        <w:t xml:space="preserve"> </w:t>
      </w:r>
      <w:r w:rsidR="004B3689" w:rsidRPr="007D4C92">
        <w:rPr>
          <w:rFonts w:ascii="Times New Roman" w:eastAsia="ArialMT" w:hAnsi="Times New Roman"/>
          <w:color w:val="000000"/>
          <w:sz w:val="26"/>
          <w:szCs w:val="26"/>
        </w:rPr>
        <w:t xml:space="preserve">The numerical value of the expanded uncertainty should be given to no more than two significant figures. If it is necessary to round a measurement result, this rounding must be applied after all calculations have been completed and only then can the resulting values be rounded when presented. The rounding process should use the normal rules for rounding numbers </w:t>
      </w:r>
      <w:r w:rsidR="00817834">
        <w:rPr>
          <w:rFonts w:ascii="Times New Roman" w:hAnsi="Times New Roman"/>
          <w:sz w:val="26"/>
          <w:szCs w:val="26"/>
        </w:rPr>
        <w:t xml:space="preserve">contained in </w:t>
      </w:r>
      <w:r w:rsidR="00817834">
        <w:rPr>
          <w:rFonts w:ascii="Times New Roman" w:eastAsia="ArialMT" w:hAnsi="Times New Roman"/>
          <w:color w:val="000000"/>
          <w:sz w:val="26"/>
          <w:szCs w:val="26"/>
        </w:rPr>
        <w:t>rounding guidelines, including those found in the GUM.</w:t>
      </w:r>
    </w:p>
    <w:p w14:paraId="4F96945B" w14:textId="77777777" w:rsidR="00DE4ACF" w:rsidRDefault="00DD2E52" w:rsidP="00E81273">
      <w:pPr>
        <w:spacing w:after="0" w:line="240" w:lineRule="auto"/>
        <w:ind w:firstLine="709"/>
        <w:jc w:val="both"/>
        <w:rPr>
          <w:rFonts w:ascii="Times New Roman" w:eastAsia="ArialMT" w:hAnsi="Times New Roman"/>
          <w:color w:val="000000"/>
          <w:sz w:val="26"/>
          <w:szCs w:val="26"/>
        </w:rPr>
      </w:pPr>
      <w:r w:rsidRPr="00436801">
        <w:rPr>
          <w:rFonts w:ascii="Times New Roman" w:hAnsi="Times New Roman"/>
          <w:b/>
          <w:bCs/>
          <w:sz w:val="26"/>
          <w:szCs w:val="26"/>
        </w:rPr>
        <w:t>4.4</w:t>
      </w:r>
      <w:r w:rsidRPr="0008463B">
        <w:rPr>
          <w:rFonts w:ascii="Times New Roman" w:hAnsi="Times New Roman"/>
          <w:sz w:val="26"/>
          <w:szCs w:val="26"/>
        </w:rPr>
        <w:t xml:space="preserve"> </w:t>
      </w:r>
      <w:r w:rsidR="00D605EB">
        <w:rPr>
          <w:rFonts w:ascii="Times New Roman" w:eastAsia="ArialMT" w:hAnsi="Times New Roman"/>
          <w:color w:val="000000"/>
          <w:sz w:val="26"/>
          <w:szCs w:val="26"/>
        </w:rPr>
        <w:t>The uncertainty contributions given in the calibration certificate shall include relevant short-term contributions arising during the calibration process and contributions that can be reasonably attributed to the customer's equipment. Where appropriate, the uncertainty shall cover the same uncertainty contributions considered in the uncertainty assessment presented in the CMC, except that the uncertainty contributions estimated for the best existing equipment shall be replaced by those associated with the customer's equipment.</w:t>
      </w:r>
    </w:p>
    <w:p w14:paraId="5EC6344F" w14:textId="2E9D2FC3" w:rsidR="007E006D" w:rsidRPr="0008463B" w:rsidRDefault="00A97336" w:rsidP="00E81273">
      <w:pPr>
        <w:spacing w:after="0" w:line="240" w:lineRule="auto"/>
        <w:ind w:firstLine="709"/>
        <w:jc w:val="both"/>
        <w:rPr>
          <w:rFonts w:ascii="Times New Roman" w:hAnsi="Times New Roman"/>
          <w:sz w:val="26"/>
          <w:szCs w:val="26"/>
        </w:rPr>
      </w:pPr>
      <w:r>
        <w:rPr>
          <w:rFonts w:ascii="Times New Roman" w:eastAsia="ArialMT" w:hAnsi="Times New Roman"/>
          <w:color w:val="000000"/>
          <w:sz w:val="26"/>
          <w:szCs w:val="26"/>
        </w:rPr>
        <w:t>Therefore, the uncertainties indicated in the calibration certificate (certificate) are, as a rule, greater than the uncertainty presented in the CMS. Contributions that cannot be known to the laboratory, such as uncertainties associated with transportation, are generally not included in the reported uncertainty. However, if the laboratory expects that such contributions will have a significant impact on the uncertainties attributed to the laboratory, the user should be notified in accordance with the sections of ISO/IEC 17025 concerning the consideration of requests, tenders and contracts.</w:t>
      </w:r>
    </w:p>
    <w:p w14:paraId="74D19EF3" w14:textId="77777777" w:rsidR="00EF7346" w:rsidRDefault="00CC707B" w:rsidP="00E81273">
      <w:pPr>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 xml:space="preserve">4.5 </w:t>
      </w:r>
      <w:r w:rsidRPr="00A67BB5">
        <w:rPr>
          <w:rFonts w:ascii="Times New Roman" w:hAnsi="Times New Roman"/>
          <w:sz w:val="26"/>
          <w:szCs w:val="26"/>
        </w:rPr>
        <w:t>As defined by the CMC, accredited calibration laboratories must not indicate in their calibration certificates an uncertainty that is less than the uncertainty presented in the CMC for the scope of the laboratory accreditation.</w:t>
      </w:r>
    </w:p>
    <w:p w14:paraId="28CBD1D5" w14:textId="77777777" w:rsidR="001B4DC5" w:rsidRDefault="001B4DC5" w:rsidP="00E81273">
      <w:pPr>
        <w:spacing w:after="0" w:line="240" w:lineRule="auto"/>
        <w:ind w:firstLine="709"/>
        <w:jc w:val="both"/>
        <w:rPr>
          <w:rFonts w:ascii="Times New Roman" w:hAnsi="Times New Roman"/>
          <w:b/>
          <w:bCs/>
          <w:sz w:val="26"/>
          <w:szCs w:val="26"/>
        </w:rPr>
      </w:pPr>
    </w:p>
    <w:p w14:paraId="2E3D8E1B" w14:textId="2D72F7E7" w:rsidR="00E62016" w:rsidRPr="00E62016" w:rsidRDefault="00E62016" w:rsidP="00E81273">
      <w:pPr>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 xml:space="preserve">4.6 </w:t>
      </w:r>
      <w:r w:rsidR="00C30F77" w:rsidRPr="00436801">
        <w:rPr>
          <w:rFonts w:ascii="Times New Roman" w:hAnsi="Times New Roman"/>
          <w:b/>
          <w:bCs/>
          <w:sz w:val="26"/>
          <w:szCs w:val="26"/>
        </w:rPr>
        <w:t>_</w:t>
      </w:r>
      <w:r w:rsidRPr="00E62016">
        <w:rPr>
          <w:rFonts w:ascii="Times New Roman" w:hAnsi="Times New Roman"/>
          <w:sz w:val="26"/>
          <w:szCs w:val="26"/>
        </w:rPr>
        <w:t xml:space="preserve"> </w:t>
      </w:r>
      <w:r w:rsidRPr="007D4C92">
        <w:rPr>
          <w:rFonts w:ascii="Times New Roman" w:eastAsia="ArialMT" w:hAnsi="Times New Roman"/>
          <w:color w:val="000000"/>
          <w:sz w:val="26"/>
          <w:szCs w:val="26"/>
        </w:rPr>
        <w:t>In accordance with the requirements of GOST ISO/IEC 17025 (ISO/IEC 17025), accredited calibration laboratories must present measurement uncertainty using the same units as for the measurand, or in a relative form with respect to the measurand (for example, as a percentage).</w:t>
      </w:r>
    </w:p>
    <w:p w14:paraId="0A815E5B" w14:textId="77777777" w:rsidR="00EA14AA" w:rsidRDefault="00EA14AA" w:rsidP="00EA14AA">
      <w:pPr>
        <w:pStyle w:val="af2"/>
        <w:ind w:firstLine="708"/>
        <w:rPr>
          <w:rFonts w:ascii="Times New Roman" w:hAnsi="Times New Roman"/>
          <w:b/>
          <w:bCs/>
          <w:sz w:val="26"/>
          <w:szCs w:val="26"/>
        </w:rPr>
      </w:pPr>
    </w:p>
    <w:p w14:paraId="200D738C" w14:textId="77777777" w:rsidR="00EF7346" w:rsidRPr="00EA14AA" w:rsidRDefault="00273C47" w:rsidP="00EA14AA">
      <w:pPr>
        <w:pStyle w:val="af2"/>
        <w:ind w:firstLine="708"/>
        <w:jc w:val="both"/>
        <w:rPr>
          <w:rFonts w:ascii="Times New Roman" w:hAnsi="Times New Roman"/>
          <w:b/>
          <w:bCs/>
          <w:sz w:val="26"/>
          <w:szCs w:val="26"/>
        </w:rPr>
      </w:pPr>
      <w:r w:rsidRPr="00EA14AA">
        <w:rPr>
          <w:rFonts w:ascii="Times New Roman" w:hAnsi="Times New Roman"/>
          <w:b/>
          <w:bCs/>
          <w:sz w:val="26"/>
          <w:szCs w:val="26"/>
        </w:rPr>
        <w:t>5 BSCA Policy on Expression of Uncertainty by Testing Laboratories</w:t>
      </w:r>
    </w:p>
    <w:p w14:paraId="3F1674F6" w14:textId="77777777" w:rsidR="00CF5E80" w:rsidRPr="00A67BB5" w:rsidRDefault="00CF5E80" w:rsidP="00E81273">
      <w:pPr>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 xml:space="preserve">5.1 </w:t>
      </w:r>
      <w:r w:rsidRPr="00A67BB5">
        <w:rPr>
          <w:rFonts w:ascii="Times New Roman" w:hAnsi="Times New Roman"/>
          <w:sz w:val="26"/>
          <w:szCs w:val="26"/>
        </w:rPr>
        <w:t>Understanding measurement uncertainty is important for laboratories, their customers and all interested parties who use measurement results obtained using quantitative methods in assessing the conformity of a test item.</w:t>
      </w:r>
    </w:p>
    <w:p w14:paraId="5B91D68F" w14:textId="77777777" w:rsidR="00CF5E80" w:rsidRPr="00A67BB5" w:rsidRDefault="00CF5E80" w:rsidP="00E81273">
      <w:pPr>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 xml:space="preserve">5.2 </w:t>
      </w:r>
      <w:r w:rsidRPr="00A67BB5">
        <w:rPr>
          <w:rFonts w:ascii="Times New Roman" w:hAnsi="Times New Roman"/>
          <w:sz w:val="26"/>
          <w:szCs w:val="26"/>
        </w:rPr>
        <w:t>Measurement uncertainty is influenced by statistical and systematic factors. Where possible, the influence of systematic factors should be reduced.</w:t>
      </w:r>
    </w:p>
    <w:p w14:paraId="04E119F3" w14:textId="77777777" w:rsidR="00CF5E80" w:rsidRPr="00A67BB5" w:rsidRDefault="00CF5E80" w:rsidP="00E81273">
      <w:pPr>
        <w:spacing w:after="0" w:line="240" w:lineRule="auto"/>
        <w:ind w:firstLine="709"/>
        <w:jc w:val="both"/>
        <w:rPr>
          <w:rFonts w:ascii="Times New Roman" w:hAnsi="Times New Roman"/>
          <w:sz w:val="26"/>
          <w:szCs w:val="26"/>
        </w:rPr>
      </w:pPr>
      <w:r w:rsidRPr="00A67BB5">
        <w:rPr>
          <w:rFonts w:ascii="Times New Roman" w:hAnsi="Times New Roman"/>
          <w:sz w:val="26"/>
          <w:szCs w:val="26"/>
        </w:rPr>
        <w:t>The degree of care in calculating uncertainty depends on the following:</w:t>
      </w:r>
    </w:p>
    <w:p w14:paraId="4AAD2544" w14:textId="77777777" w:rsidR="00CF5E80" w:rsidRPr="00A67BB5" w:rsidRDefault="00CF5E80" w:rsidP="00E81273">
      <w:pPr>
        <w:numPr>
          <w:ilvl w:val="0"/>
          <w:numId w:val="21"/>
        </w:numPr>
        <w:tabs>
          <w:tab w:val="left" w:pos="1134"/>
        </w:tabs>
        <w:spacing w:after="0" w:line="240" w:lineRule="auto"/>
        <w:ind w:left="0" w:firstLine="709"/>
        <w:jc w:val="both"/>
        <w:rPr>
          <w:rFonts w:ascii="Times New Roman" w:hAnsi="Times New Roman"/>
          <w:sz w:val="26"/>
          <w:szCs w:val="26"/>
        </w:rPr>
      </w:pPr>
      <w:r w:rsidRPr="00A67BB5">
        <w:rPr>
          <w:rFonts w:ascii="Times New Roman" w:hAnsi="Times New Roman"/>
          <w:sz w:val="26"/>
          <w:szCs w:val="26"/>
        </w:rPr>
        <w:t>test/measurement method requirements;</w:t>
      </w:r>
    </w:p>
    <w:p w14:paraId="6F7B7F10" w14:textId="77777777" w:rsidR="00CF5E80" w:rsidRPr="00A67BB5" w:rsidRDefault="00CF5E80" w:rsidP="00E81273">
      <w:pPr>
        <w:numPr>
          <w:ilvl w:val="0"/>
          <w:numId w:val="21"/>
        </w:numPr>
        <w:tabs>
          <w:tab w:val="left" w:pos="1134"/>
        </w:tabs>
        <w:spacing w:after="0" w:line="240" w:lineRule="auto"/>
        <w:ind w:left="0" w:firstLine="709"/>
        <w:jc w:val="both"/>
        <w:rPr>
          <w:rFonts w:ascii="Times New Roman" w:hAnsi="Times New Roman"/>
          <w:sz w:val="26"/>
          <w:szCs w:val="26"/>
        </w:rPr>
      </w:pPr>
      <w:r w:rsidRPr="00A67BB5">
        <w:rPr>
          <w:rFonts w:ascii="Times New Roman" w:hAnsi="Times New Roman"/>
          <w:sz w:val="26"/>
          <w:szCs w:val="26"/>
        </w:rPr>
        <w:t>customer requirements;</w:t>
      </w:r>
    </w:p>
    <w:p w14:paraId="6FC66F16" w14:textId="77777777" w:rsidR="00CF5E80" w:rsidRPr="00A67BB5" w:rsidRDefault="00CF5E80" w:rsidP="00E81273">
      <w:pPr>
        <w:numPr>
          <w:ilvl w:val="0"/>
          <w:numId w:val="21"/>
        </w:numPr>
        <w:tabs>
          <w:tab w:val="left" w:pos="1134"/>
        </w:tabs>
        <w:spacing w:after="0" w:line="240" w:lineRule="auto"/>
        <w:ind w:left="0" w:firstLine="709"/>
        <w:jc w:val="both"/>
        <w:rPr>
          <w:rFonts w:ascii="Times New Roman" w:hAnsi="Times New Roman"/>
          <w:sz w:val="26"/>
          <w:szCs w:val="26"/>
        </w:rPr>
      </w:pPr>
      <w:r w:rsidRPr="00A67BB5">
        <w:rPr>
          <w:rFonts w:ascii="Times New Roman" w:hAnsi="Times New Roman"/>
          <w:sz w:val="26"/>
          <w:szCs w:val="26"/>
        </w:rPr>
        <w:t>interpretation of the results in the event of a decision being made on the compliance of the test object with the established requirements.</w:t>
      </w:r>
    </w:p>
    <w:p w14:paraId="2AA09CF3" w14:textId="77777777" w:rsidR="00CF5E80" w:rsidRPr="00A67BB5" w:rsidRDefault="00CF5E80" w:rsidP="00E81273">
      <w:pPr>
        <w:widowControl w:val="0"/>
        <w:spacing w:after="0" w:line="240" w:lineRule="auto"/>
        <w:ind w:firstLine="709"/>
        <w:jc w:val="both"/>
        <w:rPr>
          <w:rFonts w:ascii="Times New Roman" w:hAnsi="Times New Roman"/>
          <w:sz w:val="26"/>
          <w:szCs w:val="26"/>
        </w:rPr>
      </w:pPr>
      <w:r w:rsidRPr="00436801">
        <w:rPr>
          <w:rFonts w:ascii="Times New Roman" w:hAnsi="Times New Roman"/>
          <w:b/>
          <w:bCs/>
          <w:sz w:val="26"/>
          <w:szCs w:val="26"/>
        </w:rPr>
        <w:t xml:space="preserve">5.3 </w:t>
      </w:r>
      <w:r w:rsidRPr="00A67BB5">
        <w:rPr>
          <w:rFonts w:ascii="Times New Roman" w:hAnsi="Times New Roman"/>
          <w:sz w:val="26"/>
          <w:szCs w:val="26"/>
        </w:rPr>
        <w:t>Methods for assessing measurement uncertainty for test methods included in the scope of accreditation are developed directly in the laboratory, taking into account all contributions to uncertainty.</w:t>
      </w:r>
    </w:p>
    <w:p w14:paraId="6EB1D6CA" w14:textId="77777777" w:rsidR="00CF5E80" w:rsidRPr="00A67BB5" w:rsidRDefault="00CF5E80" w:rsidP="00E81273">
      <w:pPr>
        <w:widowControl w:val="0"/>
        <w:spacing w:after="0" w:line="240" w:lineRule="auto"/>
        <w:ind w:firstLine="709"/>
        <w:jc w:val="both"/>
        <w:rPr>
          <w:rFonts w:ascii="Times New Roman" w:eastAsia="Times New Roman" w:hAnsi="Times New Roman"/>
          <w:color w:val="000000"/>
          <w:sz w:val="26"/>
          <w:szCs w:val="26"/>
          <w:lang w:eastAsia="ru-RU"/>
        </w:rPr>
      </w:pPr>
      <w:r w:rsidRPr="00436801">
        <w:rPr>
          <w:rFonts w:ascii="Times New Roman" w:hAnsi="Times New Roman"/>
          <w:b/>
          <w:bCs/>
          <w:sz w:val="26"/>
          <w:szCs w:val="26"/>
        </w:rPr>
        <w:t>5.4</w:t>
      </w:r>
      <w:r w:rsidRPr="00A67BB5">
        <w:rPr>
          <w:rFonts w:ascii="Times New Roman" w:hAnsi="Times New Roman"/>
          <w:i/>
          <w:sz w:val="26"/>
          <w:szCs w:val="26"/>
        </w:rPr>
        <w:t xml:space="preserve"> </w:t>
      </w:r>
      <w:r w:rsidRPr="00A67BB5">
        <w:rPr>
          <w:rFonts w:ascii="Times New Roman" w:hAnsi="Times New Roman"/>
          <w:sz w:val="26"/>
          <w:szCs w:val="26"/>
        </w:rPr>
        <w:t xml:space="preserve">Consideration </w:t>
      </w:r>
      <w:r w:rsidRPr="00A67BB5">
        <w:rPr>
          <w:rFonts w:ascii="Times New Roman" w:eastAsia="Times New Roman" w:hAnsi="Times New Roman"/>
          <w:color w:val="000000"/>
          <w:sz w:val="26"/>
          <w:szCs w:val="26"/>
          <w:lang w:eastAsia="ru-RU"/>
        </w:rPr>
        <w:t>should be given to the various sources of uncertainty that may affect the overall standard measurement uncertainty (but, in many cases, not all of these are explicit).</w:t>
      </w:r>
    </w:p>
    <w:p w14:paraId="3789EC49" w14:textId="77777777" w:rsidR="00CF5E80" w:rsidRPr="00A67BB5" w:rsidRDefault="00CF5E80" w:rsidP="00E81273">
      <w:pPr>
        <w:spacing w:after="0" w:line="240" w:lineRule="auto"/>
        <w:ind w:firstLine="709"/>
        <w:jc w:val="both"/>
        <w:rPr>
          <w:rFonts w:ascii="Times New Roman" w:eastAsia="Times New Roman" w:hAnsi="Times New Roman"/>
          <w:sz w:val="26"/>
          <w:szCs w:val="26"/>
          <w:lang w:eastAsia="ru-RU"/>
        </w:rPr>
      </w:pPr>
      <w:r w:rsidRPr="00A67BB5">
        <w:rPr>
          <w:rFonts w:ascii="Times New Roman" w:eastAsia="Times New Roman" w:hAnsi="Times New Roman"/>
          <w:sz w:val="26"/>
          <w:szCs w:val="26"/>
          <w:lang w:eastAsia="ru-RU"/>
        </w:rPr>
        <w:t>These factors may be:</w:t>
      </w:r>
    </w:p>
    <w:p w14:paraId="413A6B62" w14:textId="77777777" w:rsidR="00CF5E80" w:rsidRPr="00A67BB5" w:rsidRDefault="00CF5E80" w:rsidP="00E81273">
      <w:pPr>
        <w:numPr>
          <w:ilvl w:val="0"/>
          <w:numId w:val="20"/>
        </w:numPr>
        <w:tabs>
          <w:tab w:val="left" w:pos="1134"/>
        </w:tabs>
        <w:spacing w:after="0" w:line="240" w:lineRule="auto"/>
        <w:ind w:left="0" w:firstLine="709"/>
        <w:jc w:val="both"/>
        <w:rPr>
          <w:rFonts w:ascii="Times New Roman" w:eastAsia="Times New Roman" w:hAnsi="Times New Roman"/>
          <w:sz w:val="26"/>
          <w:szCs w:val="26"/>
          <w:lang w:eastAsia="ru-RU"/>
        </w:rPr>
      </w:pPr>
      <w:r w:rsidRPr="00A67BB5">
        <w:rPr>
          <w:rFonts w:ascii="Times New Roman" w:eastAsia="Times New Roman" w:hAnsi="Times New Roman"/>
          <w:sz w:val="26"/>
          <w:szCs w:val="26"/>
          <w:lang w:eastAsia="ru-RU"/>
        </w:rPr>
        <w:t>determination of measured quantities (parameters) of an object (tests/measurements);</w:t>
      </w:r>
    </w:p>
    <w:p w14:paraId="793677A6" w14:textId="77777777" w:rsidR="00CF5E80" w:rsidRPr="00A67BB5" w:rsidRDefault="00CF5E80" w:rsidP="00E81273">
      <w:pPr>
        <w:numPr>
          <w:ilvl w:val="0"/>
          <w:numId w:val="20"/>
        </w:numPr>
        <w:tabs>
          <w:tab w:val="left" w:pos="1134"/>
        </w:tabs>
        <w:spacing w:after="0" w:line="240" w:lineRule="auto"/>
        <w:ind w:left="0" w:firstLine="709"/>
        <w:jc w:val="both"/>
        <w:rPr>
          <w:rFonts w:ascii="Times New Roman" w:eastAsia="Times New Roman" w:hAnsi="Times New Roman"/>
          <w:sz w:val="26"/>
          <w:szCs w:val="26"/>
          <w:lang w:eastAsia="ru-RU"/>
        </w:rPr>
      </w:pPr>
      <w:r w:rsidRPr="00A67BB5">
        <w:rPr>
          <w:rFonts w:ascii="Times New Roman" w:eastAsia="Times New Roman" w:hAnsi="Times New Roman"/>
          <w:sz w:val="26"/>
          <w:szCs w:val="26"/>
          <w:lang w:eastAsia="ru-RU"/>
        </w:rPr>
        <w:t>sampling/sampling;</w:t>
      </w:r>
    </w:p>
    <w:p w14:paraId="39990E78" w14:textId="77777777" w:rsidR="00CF5E80" w:rsidRPr="00A67BB5" w:rsidRDefault="00CF5E80" w:rsidP="00E81273">
      <w:pPr>
        <w:numPr>
          <w:ilvl w:val="0"/>
          <w:numId w:val="20"/>
        </w:numPr>
        <w:tabs>
          <w:tab w:val="left" w:pos="1134"/>
        </w:tabs>
        <w:spacing w:after="0" w:line="240" w:lineRule="auto"/>
        <w:ind w:left="0" w:firstLine="709"/>
        <w:jc w:val="both"/>
        <w:rPr>
          <w:rFonts w:ascii="Times New Roman" w:eastAsia="Times New Roman" w:hAnsi="Times New Roman"/>
          <w:color w:val="000000"/>
          <w:sz w:val="26"/>
          <w:szCs w:val="26"/>
          <w:lang w:eastAsia="ru-RU"/>
        </w:rPr>
      </w:pPr>
      <w:r w:rsidRPr="00A67BB5">
        <w:rPr>
          <w:rFonts w:ascii="Times New Roman" w:eastAsia="Times New Roman" w:hAnsi="Times New Roman"/>
          <w:color w:val="000000"/>
          <w:sz w:val="26"/>
          <w:szCs w:val="26"/>
          <w:lang w:eastAsia="ru-RU"/>
        </w:rPr>
        <w:t>transportation, storage and handling of specimens/samples;</w:t>
      </w:r>
    </w:p>
    <w:p w14:paraId="3FCCF27A" w14:textId="77777777" w:rsidR="00CF5E80" w:rsidRPr="00A67BB5" w:rsidRDefault="00CF5E80" w:rsidP="00E81273">
      <w:pPr>
        <w:numPr>
          <w:ilvl w:val="0"/>
          <w:numId w:val="20"/>
        </w:numPr>
        <w:tabs>
          <w:tab w:val="left" w:pos="1134"/>
        </w:tabs>
        <w:spacing w:after="0" w:line="240" w:lineRule="auto"/>
        <w:ind w:left="0" w:firstLine="709"/>
        <w:jc w:val="both"/>
        <w:rPr>
          <w:rFonts w:ascii="Times New Roman" w:eastAsia="Times New Roman" w:hAnsi="Times New Roman"/>
          <w:color w:val="000000"/>
          <w:sz w:val="26"/>
          <w:szCs w:val="26"/>
          <w:lang w:eastAsia="ru-RU"/>
        </w:rPr>
      </w:pPr>
      <w:r w:rsidRPr="00A67BB5">
        <w:rPr>
          <w:rFonts w:ascii="Times New Roman" w:eastAsia="Times New Roman" w:hAnsi="Times New Roman"/>
          <w:color w:val="000000"/>
          <w:sz w:val="26"/>
          <w:szCs w:val="26"/>
          <w:lang w:eastAsia="ru-RU"/>
        </w:rPr>
        <w:t>sample/sample preparation;</w:t>
      </w:r>
    </w:p>
    <w:p w14:paraId="347F06D7" w14:textId="77777777" w:rsidR="00CF5E80" w:rsidRPr="00A67BB5" w:rsidRDefault="00CF5E80" w:rsidP="00E81273">
      <w:pPr>
        <w:numPr>
          <w:ilvl w:val="0"/>
          <w:numId w:val="20"/>
        </w:numPr>
        <w:tabs>
          <w:tab w:val="left" w:pos="1134"/>
        </w:tabs>
        <w:spacing w:after="0" w:line="240" w:lineRule="auto"/>
        <w:ind w:left="0" w:firstLine="709"/>
        <w:jc w:val="both"/>
        <w:rPr>
          <w:rFonts w:ascii="Times New Roman" w:eastAsia="Times New Roman" w:hAnsi="Times New Roman"/>
          <w:color w:val="000000"/>
          <w:sz w:val="26"/>
          <w:szCs w:val="26"/>
          <w:lang w:eastAsia="ru-RU"/>
        </w:rPr>
      </w:pPr>
      <w:r w:rsidRPr="00A67BB5">
        <w:rPr>
          <w:rFonts w:ascii="Times New Roman" w:eastAsia="Times New Roman" w:hAnsi="Times New Roman"/>
          <w:color w:val="000000"/>
          <w:sz w:val="26"/>
          <w:szCs w:val="26"/>
          <w:lang w:eastAsia="ru-RU"/>
        </w:rPr>
        <w:t>environmental and measurement conditions;</w:t>
      </w:r>
    </w:p>
    <w:p w14:paraId="08363BC1" w14:textId="77777777" w:rsidR="00CF5E80" w:rsidRPr="00A67BB5" w:rsidRDefault="00CF5E80" w:rsidP="00E81273">
      <w:pPr>
        <w:numPr>
          <w:ilvl w:val="0"/>
          <w:numId w:val="20"/>
        </w:numPr>
        <w:tabs>
          <w:tab w:val="left" w:pos="1134"/>
        </w:tabs>
        <w:spacing w:after="0" w:line="240" w:lineRule="auto"/>
        <w:ind w:left="0" w:firstLine="709"/>
        <w:jc w:val="both"/>
        <w:rPr>
          <w:rFonts w:ascii="Times New Roman" w:eastAsia="Times New Roman" w:hAnsi="Times New Roman"/>
          <w:color w:val="000000"/>
          <w:sz w:val="26"/>
          <w:szCs w:val="26"/>
          <w:lang w:eastAsia="ru-RU"/>
        </w:rPr>
      </w:pPr>
      <w:r w:rsidRPr="00A67BB5">
        <w:rPr>
          <w:rFonts w:ascii="Times New Roman" w:eastAsia="Times New Roman" w:hAnsi="Times New Roman"/>
          <w:color w:val="000000"/>
          <w:sz w:val="26"/>
          <w:szCs w:val="26"/>
          <w:lang w:eastAsia="ru-RU"/>
        </w:rPr>
        <w:t>testing personnel;</w:t>
      </w:r>
    </w:p>
    <w:p w14:paraId="239EFFD5" w14:textId="77777777" w:rsidR="00CF5E80" w:rsidRPr="00A67BB5" w:rsidRDefault="00CF5E80" w:rsidP="00E81273">
      <w:pPr>
        <w:numPr>
          <w:ilvl w:val="0"/>
          <w:numId w:val="20"/>
        </w:numPr>
        <w:tabs>
          <w:tab w:val="left" w:pos="1134"/>
        </w:tabs>
        <w:spacing w:after="0" w:line="240" w:lineRule="auto"/>
        <w:ind w:left="0" w:firstLine="709"/>
        <w:jc w:val="both"/>
        <w:rPr>
          <w:rFonts w:ascii="Times New Roman" w:eastAsia="Times New Roman" w:hAnsi="Times New Roman"/>
          <w:color w:val="000000"/>
          <w:sz w:val="26"/>
          <w:szCs w:val="26"/>
          <w:lang w:eastAsia="ru-RU"/>
        </w:rPr>
      </w:pPr>
      <w:r w:rsidRPr="00A67BB5">
        <w:rPr>
          <w:rFonts w:ascii="Times New Roman" w:eastAsia="Times New Roman" w:hAnsi="Times New Roman"/>
          <w:color w:val="000000"/>
          <w:sz w:val="26"/>
          <w:szCs w:val="26"/>
          <w:lang w:eastAsia="ru-RU"/>
        </w:rPr>
        <w:t>measurement techniques;</w:t>
      </w:r>
    </w:p>
    <w:p w14:paraId="25C94202" w14:textId="77777777" w:rsidR="00CF5E80" w:rsidRPr="00A67BB5" w:rsidRDefault="00CF5E80" w:rsidP="00E81273">
      <w:pPr>
        <w:numPr>
          <w:ilvl w:val="0"/>
          <w:numId w:val="20"/>
        </w:numPr>
        <w:tabs>
          <w:tab w:val="left" w:pos="1134"/>
        </w:tabs>
        <w:spacing w:after="0" w:line="240" w:lineRule="auto"/>
        <w:ind w:left="0" w:firstLine="709"/>
        <w:jc w:val="both"/>
        <w:rPr>
          <w:rFonts w:ascii="Times New Roman" w:eastAsia="Times New Roman" w:hAnsi="Times New Roman"/>
          <w:color w:val="000000"/>
          <w:sz w:val="26"/>
          <w:szCs w:val="26"/>
          <w:lang w:eastAsia="ru-RU"/>
        </w:rPr>
      </w:pPr>
      <w:r w:rsidRPr="00A67BB5">
        <w:rPr>
          <w:rFonts w:ascii="Times New Roman" w:eastAsia="Times New Roman" w:hAnsi="Times New Roman"/>
          <w:color w:val="000000"/>
          <w:sz w:val="26"/>
          <w:szCs w:val="26"/>
          <w:lang w:eastAsia="ru-RU"/>
        </w:rPr>
        <w:t>measuring equipment;</w:t>
      </w:r>
    </w:p>
    <w:p w14:paraId="34F5FFF9" w14:textId="77777777" w:rsidR="00CF5E80" w:rsidRPr="00A67BB5" w:rsidRDefault="00CF5E80" w:rsidP="00E81273">
      <w:pPr>
        <w:numPr>
          <w:ilvl w:val="0"/>
          <w:numId w:val="20"/>
        </w:numPr>
        <w:tabs>
          <w:tab w:val="left" w:pos="1134"/>
        </w:tabs>
        <w:spacing w:after="0" w:line="240" w:lineRule="auto"/>
        <w:ind w:left="0" w:firstLine="709"/>
        <w:jc w:val="both"/>
        <w:rPr>
          <w:rFonts w:ascii="Times New Roman" w:eastAsia="Times New Roman" w:hAnsi="Times New Roman"/>
          <w:color w:val="000000"/>
          <w:sz w:val="26"/>
          <w:szCs w:val="26"/>
          <w:lang w:eastAsia="ru-RU"/>
        </w:rPr>
      </w:pPr>
      <w:r w:rsidRPr="00A67BB5">
        <w:rPr>
          <w:rFonts w:ascii="Times New Roman" w:eastAsia="Times New Roman" w:hAnsi="Times New Roman"/>
          <w:color w:val="000000"/>
          <w:sz w:val="26"/>
          <w:szCs w:val="26"/>
          <w:lang w:eastAsia="ru-RU"/>
        </w:rPr>
        <w:t>certified and control samples;</w:t>
      </w:r>
    </w:p>
    <w:p w14:paraId="5C69C49A" w14:textId="77777777" w:rsidR="00CF5E80" w:rsidRPr="00A67BB5" w:rsidRDefault="00CF5E80" w:rsidP="00E81273">
      <w:pPr>
        <w:numPr>
          <w:ilvl w:val="0"/>
          <w:numId w:val="20"/>
        </w:numPr>
        <w:tabs>
          <w:tab w:val="left" w:pos="1134"/>
        </w:tabs>
        <w:spacing w:after="0" w:line="240" w:lineRule="auto"/>
        <w:ind w:left="0" w:firstLine="709"/>
        <w:jc w:val="both"/>
        <w:rPr>
          <w:rFonts w:ascii="Times New Roman" w:eastAsia="Times New Roman" w:hAnsi="Times New Roman"/>
          <w:color w:val="000000"/>
          <w:sz w:val="26"/>
          <w:szCs w:val="26"/>
          <w:lang w:eastAsia="ru-RU"/>
        </w:rPr>
      </w:pPr>
      <w:r w:rsidRPr="00A67BB5">
        <w:rPr>
          <w:rFonts w:ascii="Times New Roman" w:eastAsia="Times New Roman" w:hAnsi="Times New Roman"/>
          <w:color w:val="000000"/>
          <w:sz w:val="26"/>
          <w:szCs w:val="26"/>
          <w:lang w:eastAsia="ru-RU"/>
        </w:rPr>
        <w:t>software used as part of the measurement methodology.</w:t>
      </w:r>
    </w:p>
    <w:p w14:paraId="60A83D48" w14:textId="77777777" w:rsidR="00B41CD9" w:rsidRDefault="00CF5E80" w:rsidP="00E81273">
      <w:pPr>
        <w:spacing w:after="0" w:line="240" w:lineRule="auto"/>
        <w:ind w:firstLine="709"/>
        <w:jc w:val="both"/>
        <w:rPr>
          <w:rFonts w:ascii="Times New Roman" w:eastAsia="Times New Roman" w:hAnsi="Times New Roman"/>
          <w:color w:val="000000"/>
          <w:sz w:val="26"/>
          <w:szCs w:val="26"/>
          <w:lang w:eastAsia="ru-RU"/>
        </w:rPr>
      </w:pPr>
      <w:r w:rsidRPr="00436801">
        <w:rPr>
          <w:rFonts w:ascii="Times New Roman" w:hAnsi="Times New Roman"/>
          <w:b/>
          <w:bCs/>
          <w:sz w:val="26"/>
          <w:szCs w:val="26"/>
        </w:rPr>
        <w:t>5.5</w:t>
      </w:r>
      <w:r w:rsidRPr="00A67BB5">
        <w:rPr>
          <w:rFonts w:ascii="Times New Roman" w:hAnsi="Times New Roman"/>
          <w:sz w:val="26"/>
          <w:szCs w:val="26"/>
        </w:rPr>
        <w:t xml:space="preserve"> </w:t>
      </w:r>
      <w:r w:rsidR="0029321C" w:rsidRPr="00E71DC1">
        <w:rPr>
          <w:rFonts w:ascii="Times New Roman" w:eastAsia="Times New Roman" w:hAnsi="Times New Roman"/>
          <w:color w:val="000000"/>
          <w:sz w:val="26"/>
          <w:szCs w:val="26"/>
          <w:lang w:eastAsia="ru-RU"/>
        </w:rPr>
        <w:t xml:space="preserve">While some laboratories may use the GUM Guide to Measurement Uncertainty ( </w:t>
      </w:r>
      <w:hyperlink r:id="rId13" w:anchor="!/DocumentCard/379098/521347" w:history="1">
        <w:r w:rsidR="0029321C" w:rsidRPr="00E71DC1">
          <w:rPr>
            <w:rFonts w:ascii="Times New Roman" w:eastAsia="Times New Roman" w:hAnsi="Times New Roman"/>
            <w:color w:val="000000"/>
            <w:sz w:val="26"/>
            <w:szCs w:val="26"/>
            <w:lang w:eastAsia="ru-RU"/>
          </w:rPr>
          <w:t xml:space="preserve">GOST 34100.3-2017/ISO/IEC Guide 98-3:2008 </w:t>
        </w:r>
      </w:hyperlink>
      <w:r w:rsidR="0029321C" w:rsidRPr="00E71DC1">
        <w:rPr>
          <w:rFonts w:ascii="Times New Roman" w:eastAsia="Times New Roman" w:hAnsi="Times New Roman"/>
          <w:color w:val="000000"/>
          <w:sz w:val="26"/>
          <w:szCs w:val="26"/>
          <w:lang w:eastAsia="ru-RU"/>
        </w:rPr>
        <w:t xml:space="preserve">) </w:t>
      </w:r>
      <w:r w:rsidR="0029321C" w:rsidRPr="00E71DC1">
        <w:rPr>
          <w:rFonts w:ascii="Times New Roman" w:eastAsia="Times New Roman" w:hAnsi="Times New Roman"/>
          <w:color w:val="000000"/>
          <w:sz w:val="26"/>
          <w:szCs w:val="26"/>
          <w:vertAlign w:val="superscript"/>
          <w:lang w:eastAsia="ru-RU"/>
        </w:rPr>
        <w:t xml:space="preserve">1 </w:t>
      </w:r>
      <w:r w:rsidR="0029321C" w:rsidRPr="00E71DC1">
        <w:rPr>
          <w:rFonts w:ascii="Times New Roman" w:eastAsia="Times New Roman" w:hAnsi="Times New Roman"/>
          <w:color w:val="000000"/>
          <w:sz w:val="26"/>
          <w:szCs w:val="26"/>
          <w:lang w:eastAsia="ru-RU"/>
        </w:rPr>
        <w:t>or similar documents, the BSCA recognizes that there is a wide range of applications for the documents for estimating measurement uncertainty in the tests specified in section 5 of ILAC-G17:01, which are defined in a specific test area at the international or national level.</w:t>
      </w:r>
    </w:p>
    <w:p w14:paraId="3143DE3B" w14:textId="77777777" w:rsidR="0029321C" w:rsidRPr="00E71DC1" w:rsidRDefault="0029321C" w:rsidP="00B41CD9">
      <w:pPr>
        <w:spacing w:after="0" w:line="240" w:lineRule="auto"/>
        <w:ind w:firstLine="709"/>
        <w:jc w:val="both"/>
        <w:rPr>
          <w:rFonts w:ascii="Times New Roman" w:eastAsia="Times New Roman" w:hAnsi="Times New Roman"/>
          <w:color w:val="000000"/>
          <w:sz w:val="26"/>
          <w:szCs w:val="26"/>
          <w:lang w:eastAsia="ru-RU"/>
        </w:rPr>
      </w:pPr>
      <w:r w:rsidRPr="00E71DC1">
        <w:rPr>
          <w:rFonts w:ascii="Times New Roman" w:eastAsia="Times New Roman" w:hAnsi="Times New Roman"/>
          <w:color w:val="000000"/>
          <w:sz w:val="26"/>
          <w:szCs w:val="26"/>
          <w:lang w:eastAsia="ru-RU"/>
        </w:rPr>
        <w:t xml:space="preserve">For example, EURACHEM/CITAC, EUROLAB and </w:t>
      </w:r>
      <w:proofErr w:type="spellStart"/>
      <w:r w:rsidRPr="00E71DC1">
        <w:rPr>
          <w:rFonts w:ascii="Times New Roman" w:eastAsia="Times New Roman" w:hAnsi="Times New Roman"/>
          <w:color w:val="000000"/>
          <w:sz w:val="26"/>
          <w:szCs w:val="26"/>
          <w:lang w:eastAsia="ru-RU"/>
        </w:rPr>
        <w:t>Nordtest</w:t>
      </w:r>
      <w:proofErr w:type="spellEnd"/>
      <w:r w:rsidRPr="00E71DC1">
        <w:rPr>
          <w:rFonts w:ascii="Times New Roman" w:eastAsia="Times New Roman" w:hAnsi="Times New Roman"/>
          <w:color w:val="000000"/>
          <w:sz w:val="26"/>
          <w:szCs w:val="26"/>
          <w:lang w:eastAsia="ru-RU"/>
        </w:rPr>
        <w:t xml:space="preserve"> have some documents on measurement uncertainty, including the measurement of uncertainty arising during the sampling process. Other fields, such as microbiology, </w:t>
      </w:r>
      <w:r w:rsidR="006263AA" w:rsidRPr="00ED5E49">
        <w:rPr>
          <w:rFonts w:ascii="Times New Roman" w:eastAsia="Times New Roman" w:hAnsi="Times New Roman"/>
          <w:color w:val="000000"/>
          <w:sz w:val="26"/>
          <w:szCs w:val="26"/>
          <w:lang w:eastAsia="ru-RU"/>
        </w:rPr>
        <w:t>may also include papers on estimating measurement uncertainty.</w:t>
      </w:r>
    </w:p>
    <w:p w14:paraId="13B14691" w14:textId="5F3E1352" w:rsidR="00CF5E80" w:rsidRPr="00E71DC1" w:rsidRDefault="00CF5E80" w:rsidP="00E71DC1">
      <w:pPr>
        <w:spacing w:after="0" w:line="240" w:lineRule="auto"/>
        <w:ind w:firstLine="709"/>
        <w:jc w:val="both"/>
        <w:rPr>
          <w:rFonts w:ascii="Times New Roman" w:eastAsia="Times New Roman" w:hAnsi="Times New Roman"/>
          <w:color w:val="000000"/>
          <w:sz w:val="26"/>
          <w:szCs w:val="26"/>
          <w:lang w:eastAsia="ru-RU"/>
        </w:rPr>
      </w:pPr>
      <w:r w:rsidRPr="00E71DC1">
        <w:rPr>
          <w:rFonts w:ascii="Times New Roman" w:eastAsia="Times New Roman" w:hAnsi="Times New Roman"/>
          <w:color w:val="000000"/>
          <w:sz w:val="26"/>
          <w:szCs w:val="26"/>
          <w:lang w:eastAsia="ru-RU"/>
        </w:rPr>
        <w:t xml:space="preserve">In some areas of testing in which uncertainty cannot be expressed as expanded uncertainty for test results (for example, qualitative testing or research), other ways of estimating measurement uncertainty, such as the probability of a false positive or false negative test result, may </w:t>
      </w:r>
      <w:r w:rsidR="006263AA" w:rsidRPr="00ED5E49">
        <w:rPr>
          <w:rFonts w:ascii="Times New Roman" w:eastAsia="Times New Roman" w:hAnsi="Times New Roman"/>
          <w:sz w:val="26"/>
          <w:szCs w:val="26"/>
          <w:lang w:eastAsia="ru-RU"/>
        </w:rPr>
        <w:t xml:space="preserve">be </w:t>
      </w:r>
      <w:r w:rsidRPr="00E71DC1">
        <w:rPr>
          <w:rFonts w:ascii="Times New Roman" w:eastAsia="Times New Roman" w:hAnsi="Times New Roman"/>
          <w:color w:val="000000"/>
          <w:sz w:val="26"/>
          <w:szCs w:val="26"/>
          <w:lang w:eastAsia="ru-RU"/>
        </w:rPr>
        <w:t xml:space="preserve">more </w:t>
      </w:r>
      <w:r w:rsidR="006263AA" w:rsidRPr="00ED5E49">
        <w:rPr>
          <w:rFonts w:ascii="Times New Roman" w:eastAsia="Times New Roman" w:hAnsi="Times New Roman"/>
          <w:sz w:val="26"/>
          <w:szCs w:val="26"/>
          <w:lang w:eastAsia="ru-RU"/>
        </w:rPr>
        <w:t>relevant</w:t>
      </w:r>
      <w:r w:rsidRPr="00E71DC1">
        <w:rPr>
          <w:rFonts w:ascii="Times New Roman" w:eastAsia="Times New Roman" w:hAnsi="Times New Roman"/>
          <w:color w:val="000000"/>
          <w:sz w:val="26"/>
          <w:szCs w:val="26"/>
          <w:lang w:eastAsia="ru-RU"/>
        </w:rPr>
        <w:t>.</w:t>
      </w:r>
    </w:p>
    <w:bookmarkEnd w:id="0"/>
    <w:p w14:paraId="12ECE6F2" w14:textId="77777777" w:rsidR="007F311B" w:rsidRPr="007D4C92" w:rsidRDefault="007F311B" w:rsidP="007D4C92">
      <w:pPr>
        <w:spacing w:after="0" w:line="240" w:lineRule="auto"/>
        <w:rPr>
          <w:rFonts w:ascii="Times New Roman" w:hAnsi="Times New Roman"/>
          <w:sz w:val="20"/>
          <w:szCs w:val="20"/>
        </w:rPr>
      </w:pPr>
    </w:p>
    <w:sectPr w:rsidR="007F311B" w:rsidRPr="007D4C92" w:rsidSect="004954D1">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1134" w:left="170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4E4C" w14:textId="77777777" w:rsidR="0070525D" w:rsidRDefault="0070525D" w:rsidP="00034B58">
      <w:pPr>
        <w:spacing w:after="0" w:line="240" w:lineRule="auto"/>
      </w:pPr>
      <w:r>
        <w:separator/>
      </w:r>
    </w:p>
  </w:endnote>
  <w:endnote w:type="continuationSeparator" w:id="0">
    <w:p w14:paraId="259263D7" w14:textId="77777777" w:rsidR="0070525D" w:rsidRDefault="0070525D" w:rsidP="0003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MT">
    <w:altName w:val="Klee One"/>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E42D" w14:textId="77777777" w:rsidR="00292755" w:rsidRDefault="00292755">
    <w:pPr>
      <w:pStyle w:val="a9"/>
    </w:pPr>
  </w:p>
  <w:p w14:paraId="6B5456AE" w14:textId="77777777" w:rsidR="00292755" w:rsidRDefault="002927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3803" w14:textId="77777777" w:rsidR="00EA05A8" w:rsidRPr="00E71DC1" w:rsidRDefault="00EA05A8" w:rsidP="00E71DC1">
    <w:pPr>
      <w:pStyle w:val="af2"/>
      <w:rPr>
        <w:rFonts w:ascii="Times New Roman" w:hAnsi="Times New Roman"/>
        <w:sz w:val="24"/>
        <w:szCs w:val="24"/>
      </w:rPr>
    </w:pPr>
  </w:p>
  <w:tbl>
    <w:tblPr>
      <w:tblW w:w="5000" w:type="pct"/>
      <w:tblBorders>
        <w:top w:val="single" w:sz="4" w:space="0" w:color="auto"/>
      </w:tblBorders>
      <w:tblLook w:val="00A0" w:firstRow="1" w:lastRow="0" w:firstColumn="1" w:lastColumn="0" w:noHBand="0" w:noVBand="0"/>
    </w:tblPr>
    <w:tblGrid>
      <w:gridCol w:w="8431"/>
      <w:gridCol w:w="1207"/>
    </w:tblGrid>
    <w:tr w:rsidR="00292755" w:rsidRPr="009B1370" w14:paraId="4B446B3D" w14:textId="77777777" w:rsidTr="00292755">
      <w:tc>
        <w:tcPr>
          <w:tcW w:w="4374" w:type="pct"/>
        </w:tcPr>
        <w:p w14:paraId="1C5DCE38" w14:textId="77777777" w:rsidR="00292755" w:rsidRPr="009B1370" w:rsidRDefault="00292755" w:rsidP="00B922FC">
          <w:pPr>
            <w:spacing w:after="0" w:line="240" w:lineRule="auto"/>
            <w:rPr>
              <w:rFonts w:ascii="Times New Roman" w:hAnsi="Times New Roman"/>
              <w:sz w:val="18"/>
              <w:szCs w:val="18"/>
            </w:rPr>
          </w:pPr>
          <w:r w:rsidRPr="009B1370">
            <w:rPr>
              <w:rFonts w:ascii="Times New Roman" w:hAnsi="Times New Roman"/>
              <w:sz w:val="18"/>
              <w:szCs w:val="18"/>
            </w:rPr>
            <w:t>Revision 02 from 01/25/2023</w:t>
          </w:r>
        </w:p>
      </w:tc>
      <w:tc>
        <w:tcPr>
          <w:tcW w:w="626" w:type="pct"/>
        </w:tcPr>
        <w:p w14:paraId="55BCE906" w14:textId="77777777" w:rsidR="00292755" w:rsidRPr="009B1370" w:rsidRDefault="00292755" w:rsidP="00292755">
          <w:pPr>
            <w:spacing w:after="0" w:line="240" w:lineRule="auto"/>
            <w:ind w:hanging="39"/>
            <w:rPr>
              <w:rFonts w:ascii="Times New Roman" w:hAnsi="Times New Roman"/>
              <w:sz w:val="18"/>
              <w:szCs w:val="18"/>
            </w:rPr>
          </w:pPr>
          <w:r w:rsidRPr="009B1370">
            <w:rPr>
              <w:rFonts w:ascii="Times New Roman" w:hAnsi="Times New Roman"/>
              <w:sz w:val="18"/>
              <w:szCs w:val="18"/>
            </w:rPr>
            <w:t xml:space="preserve">Page </w:t>
          </w:r>
          <w:r w:rsidR="003D1878" w:rsidRPr="009B1370">
            <w:rPr>
              <w:rFonts w:ascii="Times New Roman" w:hAnsi="Times New Roman"/>
              <w:sz w:val="18"/>
              <w:szCs w:val="18"/>
            </w:rPr>
            <w:fldChar w:fldCharType="begin"/>
          </w:r>
          <w:r w:rsidRPr="009B1370">
            <w:rPr>
              <w:rFonts w:ascii="Times New Roman" w:hAnsi="Times New Roman"/>
              <w:sz w:val="18"/>
              <w:szCs w:val="18"/>
            </w:rPr>
            <w:instrText xml:space="preserve"> PAGE </w:instrText>
          </w:r>
          <w:r w:rsidR="003D1878" w:rsidRPr="009B1370">
            <w:rPr>
              <w:rFonts w:ascii="Times New Roman" w:hAnsi="Times New Roman"/>
              <w:sz w:val="18"/>
              <w:szCs w:val="18"/>
            </w:rPr>
            <w:fldChar w:fldCharType="separate"/>
          </w:r>
          <w:r w:rsidR="00DE4ACF">
            <w:rPr>
              <w:rFonts w:ascii="Times New Roman" w:hAnsi="Times New Roman"/>
              <w:noProof/>
              <w:sz w:val="18"/>
              <w:szCs w:val="18"/>
            </w:rPr>
            <w:t xml:space="preserve">6 </w:t>
          </w:r>
          <w:r w:rsidR="003D1878" w:rsidRPr="009B1370">
            <w:rPr>
              <w:rFonts w:ascii="Times New Roman" w:hAnsi="Times New Roman"/>
              <w:sz w:val="18"/>
              <w:szCs w:val="18"/>
            </w:rPr>
            <w:fldChar w:fldCharType="end"/>
          </w:r>
          <w:r w:rsidRPr="009B1370">
            <w:rPr>
              <w:rFonts w:ascii="Times New Roman" w:hAnsi="Times New Roman"/>
              <w:sz w:val="18"/>
              <w:szCs w:val="18"/>
            </w:rPr>
            <w:t xml:space="preserve">out of </w:t>
          </w:r>
          <w:r w:rsidR="003D1878" w:rsidRPr="009B1370">
            <w:rPr>
              <w:rFonts w:ascii="Times New Roman" w:hAnsi="Times New Roman"/>
              <w:sz w:val="18"/>
              <w:szCs w:val="18"/>
            </w:rPr>
            <w:fldChar w:fldCharType="begin"/>
          </w:r>
          <w:r w:rsidRPr="009B1370">
            <w:rPr>
              <w:rFonts w:ascii="Times New Roman" w:hAnsi="Times New Roman"/>
              <w:sz w:val="18"/>
              <w:szCs w:val="18"/>
            </w:rPr>
            <w:instrText xml:space="preserve"> NUMPAGES </w:instrText>
          </w:r>
          <w:r w:rsidR="003D1878" w:rsidRPr="009B1370">
            <w:rPr>
              <w:rFonts w:ascii="Times New Roman" w:hAnsi="Times New Roman"/>
              <w:sz w:val="18"/>
              <w:szCs w:val="18"/>
            </w:rPr>
            <w:fldChar w:fldCharType="separate"/>
          </w:r>
          <w:r w:rsidR="00DE4ACF">
            <w:rPr>
              <w:rFonts w:ascii="Times New Roman" w:hAnsi="Times New Roman"/>
              <w:noProof/>
              <w:sz w:val="18"/>
              <w:szCs w:val="18"/>
            </w:rPr>
            <w:t>6</w:t>
          </w:r>
          <w:r w:rsidR="003D1878" w:rsidRPr="009B1370">
            <w:rPr>
              <w:rFonts w:ascii="Times New Roman" w:hAnsi="Times New Roman"/>
              <w:sz w:val="18"/>
              <w:szCs w:val="18"/>
            </w:rPr>
            <w:fldChar w:fldCharType="end"/>
          </w:r>
        </w:p>
      </w:tc>
    </w:tr>
  </w:tbl>
  <w:p w14:paraId="1AD2D7C2" w14:textId="77777777" w:rsidR="00292755" w:rsidRPr="00B922FC" w:rsidRDefault="00292755" w:rsidP="00B922FC">
    <w:pPr>
      <w:pStyle w:val="a9"/>
      <w:tabs>
        <w:tab w:val="clear" w:pos="4677"/>
        <w:tab w:val="clear" w:pos="9355"/>
        <w:tab w:val="left" w:pos="774"/>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CB72" w14:textId="08449860" w:rsidR="00292755" w:rsidRPr="007D4C92" w:rsidRDefault="00292755" w:rsidP="00A67BB5">
    <w:pPr>
      <w:pStyle w:val="a9"/>
      <w:jc w:val="center"/>
      <w:rPr>
        <w:rFonts w:ascii="Times New Roman" w:hAnsi="Times New Roman"/>
        <w:b/>
        <w:sz w:val="28"/>
        <w:szCs w:val="28"/>
        <w:lang w:val="ru-RU"/>
      </w:rPr>
    </w:pPr>
    <w:r w:rsidRPr="00ED0DF0">
      <w:rPr>
        <w:rFonts w:ascii="Times New Roman" w:hAnsi="Times New Roman"/>
        <w:b/>
        <w:sz w:val="28"/>
        <w:szCs w:val="28"/>
      </w:rPr>
      <w:t>Minsk, 20</w:t>
    </w:r>
    <w:r w:rsidR="00C73289">
      <w:rPr>
        <w:rFonts w:ascii="Times New Roman" w:hAnsi="Times New Roman"/>
        <w:b/>
        <w:sz w:val="28"/>
        <w:szCs w:val="28"/>
        <w:lang w:val="ru-RU"/>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C2C1" w14:textId="77777777" w:rsidR="0070525D" w:rsidRDefault="0070525D" w:rsidP="00034B58">
      <w:pPr>
        <w:spacing w:after="0" w:line="240" w:lineRule="auto"/>
      </w:pPr>
      <w:r>
        <w:separator/>
      </w:r>
    </w:p>
  </w:footnote>
  <w:footnote w:type="continuationSeparator" w:id="0">
    <w:p w14:paraId="5B20E0AC" w14:textId="77777777" w:rsidR="0070525D" w:rsidRDefault="0070525D" w:rsidP="00034B58">
      <w:pPr>
        <w:spacing w:after="0" w:line="240" w:lineRule="auto"/>
      </w:pPr>
      <w:r>
        <w:continuationSeparator/>
      </w:r>
    </w:p>
  </w:footnote>
  <w:footnote w:id="1">
    <w:p w14:paraId="450AC1BB" w14:textId="77777777" w:rsidR="00EA05A8" w:rsidRPr="00E71DC1" w:rsidRDefault="00EA05A8" w:rsidP="00E71DC1">
      <w:pPr>
        <w:shd w:val="clear" w:color="auto" w:fill="FFFFFF"/>
        <w:spacing w:after="0" w:line="240" w:lineRule="auto"/>
        <w:jc w:val="both"/>
        <w:rPr>
          <w:rFonts w:ascii="Times New Roman" w:hAnsi="Times New Roman"/>
          <w:i/>
          <w:iCs/>
          <w:sz w:val="20"/>
          <w:szCs w:val="20"/>
        </w:rPr>
      </w:pPr>
      <w:r w:rsidRPr="00E71DC1">
        <w:rPr>
          <w:rStyle w:val="afa"/>
          <w:i/>
          <w:iCs/>
          <w:sz w:val="20"/>
          <w:szCs w:val="20"/>
        </w:rPr>
        <w:footnoteRef/>
      </w:r>
      <w:r w:rsidRPr="00E71DC1">
        <w:rPr>
          <w:i/>
          <w:iCs/>
          <w:sz w:val="20"/>
          <w:szCs w:val="20"/>
        </w:rPr>
        <w:t xml:space="preserve"> </w:t>
      </w:r>
      <w:r w:rsidRPr="00E71DC1">
        <w:rPr>
          <w:rFonts w:ascii="Times New Roman" w:hAnsi="Times New Roman"/>
          <w:i/>
          <w:iCs/>
          <w:sz w:val="20"/>
          <w:szCs w:val="20"/>
        </w:rPr>
        <w:t xml:space="preserve">On the territory of the Republic of Belarus, GUM operates in the form of </w:t>
      </w:r>
      <w:hyperlink r:id="rId1" w:anchor="!/DocumentCard/379098/521347" w:history="1">
        <w:r w:rsidRPr="00E71DC1">
          <w:rPr>
            <w:rFonts w:ascii="Times New Roman" w:hAnsi="Times New Roman"/>
            <w:i/>
            <w:iCs/>
            <w:sz w:val="20"/>
            <w:szCs w:val="20"/>
          </w:rPr>
          <w:t xml:space="preserve">GOST 34100.3-2017/ISO/IEC Guide 98-3:2008 </w:t>
        </w:r>
      </w:hyperlink>
      <w:r w:rsidRPr="00E71DC1">
        <w:rPr>
          <w:rFonts w:ascii="Times New Roman" w:hAnsi="Times New Roman"/>
          <w:i/>
          <w:iCs/>
          <w:sz w:val="20"/>
          <w:szCs w:val="20"/>
        </w:rPr>
        <w:t>Measurement uncertainty. Part 3: Guidance on expressing measurement uncertainty.</w:t>
      </w:r>
    </w:p>
  </w:footnote>
  <w:footnote w:id="2">
    <w:p w14:paraId="48B6F129" w14:textId="77777777" w:rsidR="00EA05A8" w:rsidRPr="00E71DC1" w:rsidRDefault="00EA05A8" w:rsidP="00E71DC1">
      <w:pPr>
        <w:pStyle w:val="af2"/>
        <w:jc w:val="both"/>
        <w:rPr>
          <w:rFonts w:ascii="Times New Roman" w:hAnsi="Times New Roman"/>
          <w:i/>
          <w:iCs/>
          <w:sz w:val="20"/>
          <w:szCs w:val="20"/>
        </w:rPr>
      </w:pPr>
      <w:r w:rsidRPr="00E71DC1">
        <w:rPr>
          <w:rStyle w:val="afa"/>
          <w:rFonts w:ascii="Times New Roman" w:hAnsi="Times New Roman"/>
          <w:i/>
          <w:iCs/>
          <w:sz w:val="20"/>
          <w:szCs w:val="20"/>
        </w:rPr>
        <w:footnoteRef/>
      </w:r>
      <w:r w:rsidRPr="00E71DC1">
        <w:rPr>
          <w:rFonts w:ascii="Times New Roman" w:hAnsi="Times New Roman"/>
          <w:i/>
          <w:iCs/>
          <w:sz w:val="20"/>
          <w:szCs w:val="20"/>
        </w:rPr>
        <w:t>When performing calibration work for the purpose of using measuring instruments in the field of legal metrology and use in accredited testing laboratories (centers) in accordance with the Resolution of the State Committee for Standardization of the Republic of Belarus dated April 23, 2021 No. 42 “On approval of the Rules for the implementation of metrological assessment in the form of work on calibration of measuring instruments”, calibration methods established by international, interstate and state standards, as well as calibration methods developed by authorized legal entities for calibration based on a hierarchical calibration scheme, can be used as calibration methods.</w:t>
      </w:r>
    </w:p>
  </w:footnote>
  <w:footnote w:id="3">
    <w:p w14:paraId="2D4E7DA6" w14:textId="77777777" w:rsidR="007166B4" w:rsidRPr="00E71DC1" w:rsidRDefault="007166B4" w:rsidP="00E71DC1">
      <w:pPr>
        <w:pStyle w:val="af2"/>
        <w:jc w:val="both"/>
        <w:rPr>
          <w:rFonts w:ascii="Times New Roman" w:hAnsi="Times New Roman"/>
          <w:i/>
          <w:iCs/>
          <w:sz w:val="20"/>
          <w:szCs w:val="20"/>
        </w:rPr>
      </w:pPr>
      <w:r w:rsidRPr="00E71DC1">
        <w:rPr>
          <w:rStyle w:val="afa"/>
          <w:rFonts w:ascii="Times New Roman" w:hAnsi="Times New Roman"/>
          <w:i/>
          <w:iCs/>
          <w:sz w:val="20"/>
          <w:szCs w:val="20"/>
        </w:rPr>
        <w:footnoteRef/>
      </w:r>
      <w:r w:rsidRPr="00E71DC1">
        <w:rPr>
          <w:rFonts w:ascii="Times New Roman" w:hAnsi="Times New Roman"/>
          <w:i/>
          <w:iCs/>
          <w:sz w:val="20"/>
          <w:szCs w:val="20"/>
        </w:rPr>
        <w:t>By applying the least squares method according to the recommendations of GOST 34100.1-2017/ISO/IEC Guide 98-1:2009, JCGM 107 Evaluation of measurement data. Application of the least squares method (under development).</w:t>
      </w:r>
    </w:p>
  </w:footnote>
  <w:footnote w:id="4">
    <w:p w14:paraId="37371548" w14:textId="77777777" w:rsidR="00A85BFF" w:rsidRPr="00F44264" w:rsidRDefault="00A85BFF" w:rsidP="004B3CB8">
      <w:pPr>
        <w:tabs>
          <w:tab w:val="left" w:pos="709"/>
        </w:tabs>
        <w:spacing w:after="0" w:line="240" w:lineRule="auto"/>
        <w:jc w:val="both"/>
        <w:rPr>
          <w:i/>
          <w:iCs/>
        </w:rPr>
      </w:pPr>
      <w:r w:rsidRPr="00F44264">
        <w:rPr>
          <w:rStyle w:val="afa"/>
          <w:i/>
          <w:iCs/>
        </w:rPr>
        <w:footnoteRef/>
      </w:r>
      <w:r w:rsidRPr="00F44264">
        <w:rPr>
          <w:i/>
          <w:iCs/>
        </w:rPr>
        <w:t xml:space="preserve"> </w:t>
      </w:r>
      <w:r w:rsidRPr="00F44264">
        <w:rPr>
          <w:rFonts w:ascii="Times New Roman" w:hAnsi="Times New Roman"/>
          <w:i/>
          <w:iCs/>
          <w:sz w:val="20"/>
          <w:szCs w:val="20"/>
        </w:rPr>
        <w:t xml:space="preserve">When expressing measurement uncertainty, it is necessary to take into account the provisions </w:t>
      </w:r>
      <w:hyperlink r:id="rId2" w:history="1">
        <w:r w:rsidRPr="00F44264">
          <w:rPr>
            <w:rFonts w:ascii="Times New Roman" w:hAnsi="Times New Roman"/>
            <w:i/>
            <w:iCs/>
            <w:sz w:val="20"/>
            <w:szCs w:val="20"/>
          </w:rPr>
          <w:t xml:space="preserve">of the Resolution of the Council of Ministers of the </w:t>
        </w:r>
      </w:hyperlink>
      <w:hyperlink r:id="rId3" w:history="1">
        <w:r w:rsidRPr="00F44264">
          <w:rPr>
            <w:rFonts w:ascii="Times New Roman" w:hAnsi="Times New Roman"/>
            <w:i/>
            <w:iCs/>
            <w:sz w:val="20"/>
            <w:szCs w:val="20"/>
          </w:rPr>
          <w:t xml:space="preserve">Republic </w:t>
        </w:r>
      </w:hyperlink>
      <w:hyperlink r:id="rId4" w:history="1">
        <w:r w:rsidRPr="00F44264">
          <w:rPr>
            <w:rFonts w:ascii="Times New Roman" w:hAnsi="Times New Roman"/>
            <w:i/>
            <w:iCs/>
            <w:sz w:val="20"/>
            <w:szCs w:val="20"/>
          </w:rPr>
          <w:t xml:space="preserve">of Belarus dated November 24, 2020 No. 673 </w:t>
        </w:r>
      </w:hyperlink>
      <w:hyperlink r:id="rId5" w:history="1">
        <w:r w:rsidR="00B77792">
          <w:rPr>
            <w:rFonts w:ascii="Times New Roman" w:hAnsi="Times New Roman"/>
            <w:i/>
            <w:iCs/>
            <w:sz w:val="20"/>
            <w:szCs w:val="20"/>
          </w:rPr>
          <w:t xml:space="preserve">“ </w:t>
        </w:r>
      </w:hyperlink>
      <w:hyperlink r:id="rId6" w:history="1">
        <w:r w:rsidRPr="00F44264">
          <w:rPr>
            <w:rFonts w:ascii="Times New Roman" w:hAnsi="Times New Roman"/>
            <w:i/>
            <w:iCs/>
            <w:sz w:val="20"/>
            <w:szCs w:val="20"/>
          </w:rPr>
          <w:t xml:space="preserve">On units of quantities approved for use in the Republic </w:t>
        </w:r>
      </w:hyperlink>
      <w:hyperlink r:id="rId7" w:history="1">
        <w:r w:rsidRPr="00F44264">
          <w:rPr>
            <w:rFonts w:ascii="Times New Roman" w:hAnsi="Times New Roman"/>
            <w:i/>
            <w:iCs/>
            <w:sz w:val="20"/>
            <w:szCs w:val="20"/>
          </w:rPr>
          <w:t xml:space="preserve">of </w:t>
        </w:r>
      </w:hyperlink>
      <w:hyperlink r:id="rId8" w:history="1">
        <w:r w:rsidRPr="00F44264">
          <w:rPr>
            <w:rFonts w:ascii="Times New Roman" w:hAnsi="Times New Roman"/>
            <w:i/>
            <w:iCs/>
            <w:sz w:val="20"/>
            <w:szCs w:val="20"/>
          </w:rPr>
          <w:t xml:space="preserve">Belarus </w:t>
        </w:r>
      </w:hyperlink>
      <w:hyperlink r:id="rId9" w:history="1">
        <w:r w:rsidR="00B77792">
          <w:rPr>
            <w:rFonts w:ascii="Times New Roman" w:hAnsi="Times New Roman"/>
            <w:i/>
            <w:iCs/>
            <w:sz w:val="20"/>
            <w:szCs w:val="20"/>
          </w:rPr>
          <w:t xml:space="preserve">” </w:t>
        </w:r>
      </w:hyperlink>
      <w:hyperlink r:id="rId10" w:history="1">
        <w:r w:rsidRPr="00F44264">
          <w:rPr>
            <w:rFonts w:ascii="Times New Roman" w:hAnsi="Times New Roman"/>
            <w:i/>
            <w:iCs/>
            <w:sz w:val="20"/>
            <w:szCs w:val="20"/>
          </w:rPr>
          <w:t>.</w:t>
        </w:r>
      </w:hyperlink>
    </w:p>
  </w:footnote>
  <w:footnote w:id="5">
    <w:p w14:paraId="57384C0A" w14:textId="77777777" w:rsidR="00F44264" w:rsidRPr="00F44264" w:rsidRDefault="00F44264" w:rsidP="00F44264">
      <w:pPr>
        <w:pStyle w:val="af2"/>
        <w:jc w:val="both"/>
        <w:rPr>
          <w:rFonts w:ascii="Times New Roman" w:hAnsi="Times New Roman"/>
          <w:i/>
          <w:iCs/>
          <w:sz w:val="20"/>
          <w:szCs w:val="20"/>
        </w:rPr>
      </w:pPr>
      <w:r w:rsidRPr="00F44264">
        <w:rPr>
          <w:rStyle w:val="afa"/>
          <w:rFonts w:ascii="Times New Roman" w:hAnsi="Times New Roman"/>
          <w:i/>
          <w:iCs/>
          <w:sz w:val="20"/>
          <w:szCs w:val="20"/>
        </w:rPr>
        <w:footnoteRef/>
      </w:r>
      <w:r w:rsidRPr="00F44264">
        <w:rPr>
          <w:rFonts w:ascii="Times New Roman" w:hAnsi="Times New Roman"/>
          <w:i/>
          <w:iCs/>
          <w:sz w:val="20"/>
          <w:szCs w:val="20"/>
        </w:rPr>
        <w:t>The need to draw up a conclusion on compliance is determined by Resolution of the State Committee for Standardization of the Republic of Belarus dated April 23, 2021 No. 42 On approval of the Rules for metrological assessment in the form of calibration of measuring instruments.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ACB8" w14:textId="77777777" w:rsidR="00292755" w:rsidRDefault="00292755">
    <w:pPr>
      <w:pStyle w:val="a7"/>
    </w:pPr>
  </w:p>
  <w:p w14:paraId="5C0AD7BF" w14:textId="77777777" w:rsidR="00292755" w:rsidRDefault="002927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bottom w:val="single" w:sz="4" w:space="0" w:color="auto"/>
      </w:tblBorders>
      <w:tblLayout w:type="fixed"/>
      <w:tblLook w:val="04A0" w:firstRow="1" w:lastRow="0" w:firstColumn="1" w:lastColumn="0" w:noHBand="0" w:noVBand="1"/>
    </w:tblPr>
    <w:tblGrid>
      <w:gridCol w:w="817"/>
      <w:gridCol w:w="9072"/>
    </w:tblGrid>
    <w:tr w:rsidR="00292755" w14:paraId="243C8D2E" w14:textId="77777777" w:rsidTr="009E3772">
      <w:tc>
        <w:tcPr>
          <w:tcW w:w="817" w:type="dxa"/>
          <w:vAlign w:val="bottom"/>
        </w:tcPr>
        <w:p w14:paraId="5395F5FC" w14:textId="411095F4" w:rsidR="00292755" w:rsidRPr="009E3772" w:rsidRDefault="003B3E46" w:rsidP="009E3772">
          <w:pPr>
            <w:pStyle w:val="a7"/>
            <w:tabs>
              <w:tab w:val="left" w:pos="7797"/>
            </w:tabs>
            <w:rPr>
              <w:rFonts w:ascii="Times New Roman" w:eastAsia="Times New Roman" w:hAnsi="Times New Roman"/>
              <w:b/>
              <w:sz w:val="24"/>
              <w:szCs w:val="24"/>
              <w:lang w:val="en-US" w:eastAsia="ru-RU" w:bidi="en-US"/>
            </w:rPr>
          </w:pPr>
          <w:r w:rsidRPr="009E3772">
            <w:rPr>
              <w:rFonts w:eastAsia="Times New Roman"/>
              <w:noProof/>
              <w:sz w:val="2"/>
              <w:szCs w:val="2"/>
              <w:lang w:val="ru-RU" w:eastAsia="ru-RU"/>
            </w:rPr>
            <w:drawing>
              <wp:inline distT="0" distB="0" distL="0" distR="0" wp14:anchorId="2496DF83" wp14:editId="32F02036">
                <wp:extent cx="251460" cy="31242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312420"/>
                        </a:xfrm>
                        <a:prstGeom prst="rect">
                          <a:avLst/>
                        </a:prstGeom>
                        <a:noFill/>
                        <a:ln>
                          <a:noFill/>
                        </a:ln>
                      </pic:spPr>
                    </pic:pic>
                  </a:graphicData>
                </a:graphic>
              </wp:inline>
            </w:drawing>
          </w:r>
        </w:p>
      </w:tc>
      <w:tc>
        <w:tcPr>
          <w:tcW w:w="9072" w:type="dxa"/>
          <w:vAlign w:val="bottom"/>
        </w:tcPr>
        <w:p w14:paraId="3B0AB132" w14:textId="77777777" w:rsidR="00292755" w:rsidRPr="009E3772" w:rsidRDefault="00292755" w:rsidP="009E3772">
          <w:pPr>
            <w:pStyle w:val="af2"/>
            <w:jc w:val="right"/>
            <w:rPr>
              <w:rFonts w:ascii="Times New Roman" w:eastAsia="Times New Roman" w:hAnsi="Times New Roman"/>
              <w:b/>
              <w:sz w:val="24"/>
              <w:szCs w:val="24"/>
              <w:lang w:bidi="en-US"/>
            </w:rPr>
          </w:pPr>
          <w:r w:rsidRPr="009E3772">
            <w:rPr>
              <w:rFonts w:ascii="Times New Roman" w:eastAsia="Times New Roman" w:hAnsi="Times New Roman"/>
              <w:b/>
              <w:sz w:val="24"/>
              <w:szCs w:val="24"/>
              <w:lang w:bidi="en-US"/>
            </w:rPr>
            <w:t>PL SM 7.1-01-2023</w:t>
          </w:r>
        </w:p>
      </w:tc>
    </w:tr>
  </w:tbl>
  <w:p w14:paraId="4200D229" w14:textId="77777777" w:rsidR="00292755" w:rsidRPr="00ED0DF0" w:rsidRDefault="00292755" w:rsidP="00A67BB5">
    <w:pPr>
      <w:pStyle w:val="a7"/>
      <w:tabs>
        <w:tab w:val="clear" w:pos="4153"/>
        <w:tab w:val="clear" w:pos="8306"/>
        <w:tab w:val="left" w:pos="6804"/>
      </w:tabs>
      <w:spacing w:line="240" w:lineRule="auto"/>
      <w:ind w:right="0" w:firstLine="0"/>
      <w:jc w:val="both"/>
      <w:rPr>
        <w:rFonts w:ascii="Times New Roman" w:hAnsi="Times New Roman"/>
        <w:b/>
        <w:sz w:val="24"/>
        <w:szCs w:val="24"/>
      </w:rPr>
    </w:pPr>
  </w:p>
  <w:p w14:paraId="348B4E6E" w14:textId="77777777" w:rsidR="00292755" w:rsidRPr="00350053" w:rsidRDefault="00292755" w:rsidP="00350053">
    <w:pPr>
      <w:pStyle w:val="a7"/>
      <w:ind w:right="0"/>
      <w:rPr>
        <w:rFonts w:ascii="Times New Roman" w:hAnsi="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887"/>
      <w:gridCol w:w="8751"/>
    </w:tblGrid>
    <w:tr w:rsidR="00292755" w:rsidRPr="00D25091" w14:paraId="76E8428D" w14:textId="77777777" w:rsidTr="00A67BB5">
      <w:trPr>
        <w:trHeight w:val="711"/>
      </w:trPr>
      <w:tc>
        <w:tcPr>
          <w:tcW w:w="460" w:type="pct"/>
          <w:tcBorders>
            <w:bottom w:val="threeDEmboss" w:sz="12" w:space="0" w:color="auto"/>
          </w:tcBorders>
          <w:hideMark/>
        </w:tcPr>
        <w:p w14:paraId="4E4C1D87" w14:textId="70152507" w:rsidR="00292755" w:rsidRPr="009E3772" w:rsidRDefault="003B3E46" w:rsidP="00292755">
          <w:pPr>
            <w:pStyle w:val="ab"/>
            <w:keepNext/>
            <w:keepLines/>
            <w:jc w:val="right"/>
            <w:rPr>
              <w:rFonts w:ascii="Times New Roman" w:eastAsia="Times New Roman" w:hAnsi="Times New Roman"/>
              <w:b/>
              <w:sz w:val="24"/>
              <w:szCs w:val="24"/>
              <w:lang w:val="ru-RU" w:eastAsia="ru-RU"/>
            </w:rPr>
          </w:pPr>
          <w:r w:rsidRPr="009E3772">
            <w:rPr>
              <w:rFonts w:ascii="Times New Roman" w:eastAsia="Times New Roman" w:hAnsi="Times New Roman"/>
              <w:b/>
              <w:noProof/>
              <w:sz w:val="24"/>
              <w:szCs w:val="24"/>
              <w:lang w:val="ru-RU" w:eastAsia="ru-RU"/>
            </w:rPr>
            <w:drawing>
              <wp:inline distT="0" distB="0" distL="0" distR="0" wp14:anchorId="4B097643" wp14:editId="31785301">
                <wp:extent cx="403860" cy="510540"/>
                <wp:effectExtent l="0" t="0" r="0" b="0"/>
                <wp:docPr id="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10540"/>
                        </a:xfrm>
                        <a:prstGeom prst="rect">
                          <a:avLst/>
                        </a:prstGeom>
                        <a:noFill/>
                        <a:ln>
                          <a:noFill/>
                        </a:ln>
                      </pic:spPr>
                    </pic:pic>
                  </a:graphicData>
                </a:graphic>
              </wp:inline>
            </w:drawing>
          </w:r>
        </w:p>
      </w:tc>
      <w:tc>
        <w:tcPr>
          <w:tcW w:w="4540" w:type="pct"/>
          <w:tcBorders>
            <w:bottom w:val="threeDEmboss" w:sz="12" w:space="0" w:color="auto"/>
          </w:tcBorders>
          <w:vAlign w:val="center"/>
        </w:tcPr>
        <w:p w14:paraId="59159E68" w14:textId="77777777" w:rsidR="00292755" w:rsidRPr="00EC4F6E" w:rsidRDefault="00292755" w:rsidP="00292755">
          <w:pPr>
            <w:pStyle w:val="ab"/>
            <w:keepNext/>
            <w:keepLines/>
            <w:jc w:val="center"/>
            <w:rPr>
              <w:rFonts w:ascii="Times New Roman" w:eastAsia="Times New Roman" w:hAnsi="Times New Roman"/>
              <w:b/>
              <w:sz w:val="24"/>
              <w:szCs w:val="24"/>
              <w:lang w:val="en-US" w:eastAsia="ru-RU"/>
            </w:rPr>
          </w:pPr>
          <w:r w:rsidRPr="00EC4F6E">
            <w:rPr>
              <w:rFonts w:ascii="Times New Roman" w:eastAsia="Times New Roman" w:hAnsi="Times New Roman"/>
              <w:b/>
              <w:sz w:val="24"/>
              <w:szCs w:val="24"/>
              <w:lang w:val="en-US" w:eastAsia="ru-RU"/>
            </w:rPr>
            <w:t>REPUBLICAN UNITARY ENTERPRISE</w:t>
          </w:r>
        </w:p>
        <w:p w14:paraId="2D6AD7DF" w14:textId="0E197FEB" w:rsidR="00292755" w:rsidRPr="00EC4F6E" w:rsidRDefault="00292755" w:rsidP="00292755">
          <w:pPr>
            <w:pStyle w:val="ab"/>
            <w:keepNext/>
            <w:keepLines/>
            <w:jc w:val="center"/>
            <w:rPr>
              <w:rFonts w:ascii="Times New Roman" w:eastAsia="Times New Roman" w:hAnsi="Times New Roman"/>
              <w:b/>
              <w:sz w:val="24"/>
              <w:szCs w:val="24"/>
              <w:lang w:val="en-US" w:eastAsia="ru-RU"/>
            </w:rPr>
          </w:pPr>
          <w:r w:rsidRPr="00EC4F6E">
            <w:rPr>
              <w:rFonts w:ascii="Times New Roman" w:eastAsia="Times New Roman" w:hAnsi="Times New Roman"/>
              <w:b/>
              <w:sz w:val="24"/>
              <w:szCs w:val="24"/>
              <w:lang w:val="en-US" w:eastAsia="ru-RU"/>
            </w:rPr>
            <w:t>"</w:t>
          </w:r>
          <w:r w:rsidR="00B351B8" w:rsidRPr="00B351B8">
            <w:rPr>
              <w:rFonts w:ascii="Times New Roman" w:eastAsia="Times New Roman" w:hAnsi="Times New Roman"/>
              <w:b/>
              <w:sz w:val="24"/>
              <w:szCs w:val="24"/>
              <w:lang w:val="en-US" w:eastAsia="ru-RU"/>
            </w:rPr>
            <w:t>BELARUSIAN STATE CENTRE FOR ACCREDITATION</w:t>
          </w:r>
          <w:r w:rsidRPr="00EC4F6E">
            <w:rPr>
              <w:rFonts w:ascii="Times New Roman" w:eastAsia="Times New Roman" w:hAnsi="Times New Roman"/>
              <w:b/>
              <w:sz w:val="24"/>
              <w:szCs w:val="24"/>
              <w:lang w:val="en-US" w:eastAsia="ru-RU"/>
            </w:rPr>
            <w:t>"</w:t>
          </w:r>
        </w:p>
      </w:tc>
    </w:tr>
  </w:tbl>
  <w:p w14:paraId="474E126F" w14:textId="77777777" w:rsidR="00292755" w:rsidRDefault="0029275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C2"/>
    <w:multiLevelType w:val="multilevel"/>
    <w:tmpl w:val="D6CE5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62B40"/>
    <w:multiLevelType w:val="hybridMultilevel"/>
    <w:tmpl w:val="E6A041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BE021A7"/>
    <w:multiLevelType w:val="multilevel"/>
    <w:tmpl w:val="7FF68E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A3811"/>
    <w:multiLevelType w:val="multilevel"/>
    <w:tmpl w:val="AF40B71E"/>
    <w:lvl w:ilvl="0">
      <w:start w:val="1"/>
      <w:numFmt w:val="decimal"/>
      <w:lvlText w:val="%1."/>
      <w:lvlJc w:val="left"/>
      <w:pPr>
        <w:ind w:left="720" w:hanging="360"/>
      </w:pPr>
      <w:rPr>
        <w:rFonts w:hint="default"/>
        <w:b/>
      </w:rPr>
    </w:lvl>
    <w:lvl w:ilvl="1">
      <w:start w:val="1"/>
      <w:numFmt w:val="decimal"/>
      <w:isLgl/>
      <w:lvlText w:val="%1.%2."/>
      <w:lvlJc w:val="left"/>
      <w:pPr>
        <w:ind w:left="1134" w:hanging="414"/>
      </w:pPr>
      <w:rPr>
        <w:rFonts w:hint="default"/>
        <w:b/>
      </w:rPr>
    </w:lvl>
    <w:lvl w:ilvl="2">
      <w:start w:val="1"/>
      <w:numFmt w:val="decimal"/>
      <w:isLgl/>
      <w:lvlText w:val="%1.%2.%3."/>
      <w:lvlJc w:val="left"/>
      <w:pPr>
        <w:ind w:left="1800" w:hanging="720"/>
      </w:pPr>
      <w:rPr>
        <w:rFonts w:hint="default"/>
      </w:rPr>
    </w:lvl>
    <w:lvl w:ilvl="3">
      <w:start w:val="1"/>
      <w:numFmt w:val="lowerLetter"/>
      <w:lvlText w:val="%4)"/>
      <w:lvlJc w:val="left"/>
      <w:pPr>
        <w:ind w:left="1855"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013E32"/>
    <w:multiLevelType w:val="hybridMultilevel"/>
    <w:tmpl w:val="06369C5A"/>
    <w:lvl w:ilvl="0" w:tplc="A7A4B840">
      <w:numFmt w:val="bullet"/>
      <w:lvlText w:val="-"/>
      <w:lvlJc w:val="left"/>
      <w:pPr>
        <w:ind w:left="1211" w:hanging="360"/>
      </w:pPr>
      <w:rPr>
        <w:rFonts w:ascii="Times New Roman" w:eastAsia="Times New Roman" w:hAnsi="Times New Roman" w:hint="default"/>
      </w:rPr>
    </w:lvl>
    <w:lvl w:ilvl="1" w:tplc="04230003" w:tentative="1">
      <w:start w:val="1"/>
      <w:numFmt w:val="bullet"/>
      <w:lvlText w:val="o"/>
      <w:lvlJc w:val="left"/>
      <w:pPr>
        <w:ind w:left="1931" w:hanging="360"/>
      </w:pPr>
      <w:rPr>
        <w:rFonts w:ascii="Courier New" w:hAnsi="Courier New" w:hint="default"/>
      </w:rPr>
    </w:lvl>
    <w:lvl w:ilvl="2" w:tplc="04230005" w:tentative="1">
      <w:start w:val="1"/>
      <w:numFmt w:val="bullet"/>
      <w:lvlText w:val=""/>
      <w:lvlJc w:val="left"/>
      <w:pPr>
        <w:ind w:left="2651" w:hanging="360"/>
      </w:pPr>
      <w:rPr>
        <w:rFonts w:ascii="Wingdings" w:hAnsi="Wingdings" w:hint="default"/>
      </w:rPr>
    </w:lvl>
    <w:lvl w:ilvl="3" w:tplc="04230001" w:tentative="1">
      <w:start w:val="1"/>
      <w:numFmt w:val="bullet"/>
      <w:lvlText w:val=""/>
      <w:lvlJc w:val="left"/>
      <w:pPr>
        <w:ind w:left="3371" w:hanging="360"/>
      </w:pPr>
      <w:rPr>
        <w:rFonts w:ascii="Symbol" w:hAnsi="Symbol" w:hint="default"/>
      </w:rPr>
    </w:lvl>
    <w:lvl w:ilvl="4" w:tplc="04230003" w:tentative="1">
      <w:start w:val="1"/>
      <w:numFmt w:val="bullet"/>
      <w:lvlText w:val="o"/>
      <w:lvlJc w:val="left"/>
      <w:pPr>
        <w:ind w:left="4091" w:hanging="360"/>
      </w:pPr>
      <w:rPr>
        <w:rFonts w:ascii="Courier New" w:hAnsi="Courier New" w:hint="default"/>
      </w:rPr>
    </w:lvl>
    <w:lvl w:ilvl="5" w:tplc="04230005" w:tentative="1">
      <w:start w:val="1"/>
      <w:numFmt w:val="bullet"/>
      <w:lvlText w:val=""/>
      <w:lvlJc w:val="left"/>
      <w:pPr>
        <w:ind w:left="4811" w:hanging="360"/>
      </w:pPr>
      <w:rPr>
        <w:rFonts w:ascii="Wingdings" w:hAnsi="Wingdings" w:hint="default"/>
      </w:rPr>
    </w:lvl>
    <w:lvl w:ilvl="6" w:tplc="04230001" w:tentative="1">
      <w:start w:val="1"/>
      <w:numFmt w:val="bullet"/>
      <w:lvlText w:val=""/>
      <w:lvlJc w:val="left"/>
      <w:pPr>
        <w:ind w:left="5531" w:hanging="360"/>
      </w:pPr>
      <w:rPr>
        <w:rFonts w:ascii="Symbol" w:hAnsi="Symbol" w:hint="default"/>
      </w:rPr>
    </w:lvl>
    <w:lvl w:ilvl="7" w:tplc="04230003" w:tentative="1">
      <w:start w:val="1"/>
      <w:numFmt w:val="bullet"/>
      <w:lvlText w:val="o"/>
      <w:lvlJc w:val="left"/>
      <w:pPr>
        <w:ind w:left="6251" w:hanging="360"/>
      </w:pPr>
      <w:rPr>
        <w:rFonts w:ascii="Courier New" w:hAnsi="Courier New" w:hint="default"/>
      </w:rPr>
    </w:lvl>
    <w:lvl w:ilvl="8" w:tplc="04230005" w:tentative="1">
      <w:start w:val="1"/>
      <w:numFmt w:val="bullet"/>
      <w:lvlText w:val=""/>
      <w:lvlJc w:val="left"/>
      <w:pPr>
        <w:ind w:left="6971" w:hanging="360"/>
      </w:pPr>
      <w:rPr>
        <w:rFonts w:ascii="Wingdings" w:hAnsi="Wingdings" w:hint="default"/>
      </w:rPr>
    </w:lvl>
  </w:abstractNum>
  <w:abstractNum w:abstractNumId="5" w15:restartNumberingAfterBreak="0">
    <w:nsid w:val="25723B31"/>
    <w:multiLevelType w:val="hybridMultilevel"/>
    <w:tmpl w:val="22D81A1A"/>
    <w:lvl w:ilvl="0" w:tplc="95A4366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30F01BF6"/>
    <w:multiLevelType w:val="hybridMultilevel"/>
    <w:tmpl w:val="426A6562"/>
    <w:lvl w:ilvl="0" w:tplc="04190017">
      <w:start w:val="1"/>
      <w:numFmt w:val="low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32F17F4D"/>
    <w:multiLevelType w:val="hybridMultilevel"/>
    <w:tmpl w:val="E126105E"/>
    <w:lvl w:ilvl="0" w:tplc="95A4366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383F05E7"/>
    <w:multiLevelType w:val="hybridMultilevel"/>
    <w:tmpl w:val="98E0448A"/>
    <w:lvl w:ilvl="0" w:tplc="C5502534">
      <w:start w:val="1"/>
      <w:numFmt w:val="decimal"/>
      <w:lvlText w:val="%1)"/>
      <w:lvlJc w:val="left"/>
      <w:pPr>
        <w:tabs>
          <w:tab w:val="num" w:pos="1146"/>
        </w:tabs>
        <w:ind w:left="1146" w:hanging="72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9" w15:restartNumberingAfterBreak="0">
    <w:nsid w:val="3D5816C4"/>
    <w:multiLevelType w:val="hybridMultilevel"/>
    <w:tmpl w:val="1E98378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DA114AC"/>
    <w:multiLevelType w:val="hybridMultilevel"/>
    <w:tmpl w:val="A09028F4"/>
    <w:lvl w:ilvl="0" w:tplc="95A4366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1" w15:restartNumberingAfterBreak="0">
    <w:nsid w:val="3EED5957"/>
    <w:multiLevelType w:val="hybridMultilevel"/>
    <w:tmpl w:val="6F021D50"/>
    <w:lvl w:ilvl="0" w:tplc="04190017">
      <w:start w:val="1"/>
      <w:numFmt w:val="low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51990FD1"/>
    <w:multiLevelType w:val="multilevel"/>
    <w:tmpl w:val="E0222E5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BA7545C"/>
    <w:multiLevelType w:val="hybridMultilevel"/>
    <w:tmpl w:val="426A6562"/>
    <w:lvl w:ilvl="0" w:tplc="04190017">
      <w:start w:val="1"/>
      <w:numFmt w:val="low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15:restartNumberingAfterBreak="0">
    <w:nsid w:val="6DF23855"/>
    <w:multiLevelType w:val="hybridMultilevel"/>
    <w:tmpl w:val="B0808C10"/>
    <w:lvl w:ilvl="0" w:tplc="95A4366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15:restartNumberingAfterBreak="0">
    <w:nsid w:val="6DFB1231"/>
    <w:multiLevelType w:val="hybridMultilevel"/>
    <w:tmpl w:val="1652A5A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72306DAA"/>
    <w:multiLevelType w:val="multilevel"/>
    <w:tmpl w:val="C22474F0"/>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5F160BB"/>
    <w:multiLevelType w:val="hybridMultilevel"/>
    <w:tmpl w:val="5C9AD512"/>
    <w:lvl w:ilvl="0" w:tplc="95A4366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8" w15:restartNumberingAfterBreak="0">
    <w:nsid w:val="78801BB6"/>
    <w:multiLevelType w:val="hybridMultilevel"/>
    <w:tmpl w:val="ABBE0D3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7B1E04F8"/>
    <w:multiLevelType w:val="hybridMultilevel"/>
    <w:tmpl w:val="E03CDF7A"/>
    <w:lvl w:ilvl="0" w:tplc="19A671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7FE968F7"/>
    <w:multiLevelType w:val="hybridMultilevel"/>
    <w:tmpl w:val="0FEC3284"/>
    <w:lvl w:ilvl="0" w:tplc="95A4366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16cid:durableId="2086567607">
    <w:abstractNumId w:val="18"/>
  </w:num>
  <w:num w:numId="2" w16cid:durableId="2070884516">
    <w:abstractNumId w:val="9"/>
  </w:num>
  <w:num w:numId="3" w16cid:durableId="1074275735">
    <w:abstractNumId w:val="8"/>
  </w:num>
  <w:num w:numId="4" w16cid:durableId="1437797794">
    <w:abstractNumId w:val="1"/>
  </w:num>
  <w:num w:numId="5" w16cid:durableId="759832796">
    <w:abstractNumId w:val="19"/>
  </w:num>
  <w:num w:numId="6" w16cid:durableId="1091001182">
    <w:abstractNumId w:val="12"/>
    <w:lvlOverride w:ilvl="0">
      <w:startOverride w:val="1"/>
    </w:lvlOverride>
    <w:lvlOverride w:ilvl="1"/>
    <w:lvlOverride w:ilvl="2"/>
    <w:lvlOverride w:ilvl="3"/>
    <w:lvlOverride w:ilvl="4"/>
    <w:lvlOverride w:ilvl="5"/>
    <w:lvlOverride w:ilvl="6"/>
    <w:lvlOverride w:ilvl="7"/>
    <w:lvlOverride w:ilvl="8"/>
  </w:num>
  <w:num w:numId="7" w16cid:durableId="1853836557">
    <w:abstractNumId w:val="16"/>
  </w:num>
  <w:num w:numId="8" w16cid:durableId="939289646">
    <w:abstractNumId w:val="4"/>
  </w:num>
  <w:num w:numId="9" w16cid:durableId="2088727273">
    <w:abstractNumId w:val="2"/>
  </w:num>
  <w:num w:numId="10" w16cid:durableId="448428519">
    <w:abstractNumId w:val="0"/>
  </w:num>
  <w:num w:numId="11" w16cid:durableId="1544174749">
    <w:abstractNumId w:val="3"/>
  </w:num>
  <w:num w:numId="12" w16cid:durableId="132406964">
    <w:abstractNumId w:val="13"/>
  </w:num>
  <w:num w:numId="13" w16cid:durableId="2068525905">
    <w:abstractNumId w:val="7"/>
  </w:num>
  <w:num w:numId="14" w16cid:durableId="1830437701">
    <w:abstractNumId w:val="15"/>
  </w:num>
  <w:num w:numId="15" w16cid:durableId="2022658879">
    <w:abstractNumId w:val="14"/>
  </w:num>
  <w:num w:numId="16" w16cid:durableId="1909341650">
    <w:abstractNumId w:val="11"/>
  </w:num>
  <w:num w:numId="17" w16cid:durableId="1638292071">
    <w:abstractNumId w:val="6"/>
  </w:num>
  <w:num w:numId="18" w16cid:durableId="2043937580">
    <w:abstractNumId w:val="5"/>
  </w:num>
  <w:num w:numId="19" w16cid:durableId="1791701672">
    <w:abstractNumId w:val="20"/>
  </w:num>
  <w:num w:numId="20" w16cid:durableId="109400068">
    <w:abstractNumId w:val="10"/>
  </w:num>
  <w:num w:numId="21" w16cid:durableId="20157178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6B"/>
    <w:rsid w:val="000024FC"/>
    <w:rsid w:val="00004D9A"/>
    <w:rsid w:val="000078B0"/>
    <w:rsid w:val="00013B0C"/>
    <w:rsid w:val="00014A79"/>
    <w:rsid w:val="00015FBA"/>
    <w:rsid w:val="00026A9A"/>
    <w:rsid w:val="00030A52"/>
    <w:rsid w:val="00030B94"/>
    <w:rsid w:val="00034B58"/>
    <w:rsid w:val="00037B3F"/>
    <w:rsid w:val="00041E75"/>
    <w:rsid w:val="00043690"/>
    <w:rsid w:val="00043B0A"/>
    <w:rsid w:val="00050C6A"/>
    <w:rsid w:val="00052EDB"/>
    <w:rsid w:val="000544DA"/>
    <w:rsid w:val="000602BB"/>
    <w:rsid w:val="000636E0"/>
    <w:rsid w:val="0006376E"/>
    <w:rsid w:val="000779B0"/>
    <w:rsid w:val="00080BB2"/>
    <w:rsid w:val="000817F0"/>
    <w:rsid w:val="00083EFA"/>
    <w:rsid w:val="0008463B"/>
    <w:rsid w:val="00092327"/>
    <w:rsid w:val="00095FEB"/>
    <w:rsid w:val="000A7715"/>
    <w:rsid w:val="000B0CD4"/>
    <w:rsid w:val="000B0F5C"/>
    <w:rsid w:val="000B39C6"/>
    <w:rsid w:val="000C07BB"/>
    <w:rsid w:val="000C133B"/>
    <w:rsid w:val="000C207C"/>
    <w:rsid w:val="000C24B9"/>
    <w:rsid w:val="000C3528"/>
    <w:rsid w:val="000C55B5"/>
    <w:rsid w:val="000D158B"/>
    <w:rsid w:val="000D548D"/>
    <w:rsid w:val="000D61A6"/>
    <w:rsid w:val="000D77F9"/>
    <w:rsid w:val="000E14EB"/>
    <w:rsid w:val="000E24B3"/>
    <w:rsid w:val="000E269E"/>
    <w:rsid w:val="000E7B13"/>
    <w:rsid w:val="000F3319"/>
    <w:rsid w:val="000F3BF0"/>
    <w:rsid w:val="000F506A"/>
    <w:rsid w:val="000F5719"/>
    <w:rsid w:val="000F5E04"/>
    <w:rsid w:val="000F60A5"/>
    <w:rsid w:val="000F6CD8"/>
    <w:rsid w:val="000F7E57"/>
    <w:rsid w:val="00100328"/>
    <w:rsid w:val="001116B7"/>
    <w:rsid w:val="00111A17"/>
    <w:rsid w:val="001133B5"/>
    <w:rsid w:val="00114608"/>
    <w:rsid w:val="00116286"/>
    <w:rsid w:val="00116CC4"/>
    <w:rsid w:val="00117D8E"/>
    <w:rsid w:val="00123807"/>
    <w:rsid w:val="0012699B"/>
    <w:rsid w:val="00132F31"/>
    <w:rsid w:val="001331AB"/>
    <w:rsid w:val="0014138B"/>
    <w:rsid w:val="0014234A"/>
    <w:rsid w:val="00143182"/>
    <w:rsid w:val="0015408D"/>
    <w:rsid w:val="00154E27"/>
    <w:rsid w:val="001558A4"/>
    <w:rsid w:val="001605CF"/>
    <w:rsid w:val="00161861"/>
    <w:rsid w:val="00161E20"/>
    <w:rsid w:val="00164B78"/>
    <w:rsid w:val="00165422"/>
    <w:rsid w:val="00170282"/>
    <w:rsid w:val="001733BE"/>
    <w:rsid w:val="0018094E"/>
    <w:rsid w:val="001816E6"/>
    <w:rsid w:val="00182448"/>
    <w:rsid w:val="00184A97"/>
    <w:rsid w:val="001850B7"/>
    <w:rsid w:val="001901CC"/>
    <w:rsid w:val="00190606"/>
    <w:rsid w:val="001935B6"/>
    <w:rsid w:val="001955C0"/>
    <w:rsid w:val="00197AD1"/>
    <w:rsid w:val="00197BF7"/>
    <w:rsid w:val="001A0FDE"/>
    <w:rsid w:val="001A1BA7"/>
    <w:rsid w:val="001A73C8"/>
    <w:rsid w:val="001B4DC5"/>
    <w:rsid w:val="001B651D"/>
    <w:rsid w:val="001B7068"/>
    <w:rsid w:val="001C37E6"/>
    <w:rsid w:val="001C4251"/>
    <w:rsid w:val="001C7492"/>
    <w:rsid w:val="001D2C4D"/>
    <w:rsid w:val="001D3C71"/>
    <w:rsid w:val="001D3D11"/>
    <w:rsid w:val="001D45E9"/>
    <w:rsid w:val="001D5288"/>
    <w:rsid w:val="001D5F76"/>
    <w:rsid w:val="001E0502"/>
    <w:rsid w:val="001E7A90"/>
    <w:rsid w:val="001F149D"/>
    <w:rsid w:val="001F57B7"/>
    <w:rsid w:val="001F7DD2"/>
    <w:rsid w:val="00205762"/>
    <w:rsid w:val="002070D7"/>
    <w:rsid w:val="0021102D"/>
    <w:rsid w:val="00213FE1"/>
    <w:rsid w:val="002145F3"/>
    <w:rsid w:val="0022331E"/>
    <w:rsid w:val="0022585B"/>
    <w:rsid w:val="00230F35"/>
    <w:rsid w:val="0023185E"/>
    <w:rsid w:val="0023520E"/>
    <w:rsid w:val="0026022B"/>
    <w:rsid w:val="002731C7"/>
    <w:rsid w:val="00273390"/>
    <w:rsid w:val="00273C47"/>
    <w:rsid w:val="00277101"/>
    <w:rsid w:val="002854D4"/>
    <w:rsid w:val="002864F3"/>
    <w:rsid w:val="00292074"/>
    <w:rsid w:val="00292755"/>
    <w:rsid w:val="0029321C"/>
    <w:rsid w:val="00295719"/>
    <w:rsid w:val="002A067C"/>
    <w:rsid w:val="002A66EC"/>
    <w:rsid w:val="002B450A"/>
    <w:rsid w:val="002B7EE7"/>
    <w:rsid w:val="002C1B22"/>
    <w:rsid w:val="002C3FF9"/>
    <w:rsid w:val="002C466B"/>
    <w:rsid w:val="002C5806"/>
    <w:rsid w:val="002C6221"/>
    <w:rsid w:val="002D6E17"/>
    <w:rsid w:val="002D7C3B"/>
    <w:rsid w:val="002E5E80"/>
    <w:rsid w:val="002F38AE"/>
    <w:rsid w:val="003008E5"/>
    <w:rsid w:val="003039B3"/>
    <w:rsid w:val="00305593"/>
    <w:rsid w:val="00306C39"/>
    <w:rsid w:val="00307D2C"/>
    <w:rsid w:val="00312808"/>
    <w:rsid w:val="00313532"/>
    <w:rsid w:val="00315380"/>
    <w:rsid w:val="00316A5B"/>
    <w:rsid w:val="003203DA"/>
    <w:rsid w:val="003216BC"/>
    <w:rsid w:val="003317A2"/>
    <w:rsid w:val="0033633B"/>
    <w:rsid w:val="00340C9E"/>
    <w:rsid w:val="00342722"/>
    <w:rsid w:val="00344D31"/>
    <w:rsid w:val="00350053"/>
    <w:rsid w:val="00355220"/>
    <w:rsid w:val="0036317F"/>
    <w:rsid w:val="003631FC"/>
    <w:rsid w:val="00366229"/>
    <w:rsid w:val="00370C06"/>
    <w:rsid w:val="00371CAC"/>
    <w:rsid w:val="00372ED6"/>
    <w:rsid w:val="00373EDE"/>
    <w:rsid w:val="00374CD3"/>
    <w:rsid w:val="00380BEA"/>
    <w:rsid w:val="00381592"/>
    <w:rsid w:val="003823C5"/>
    <w:rsid w:val="003863E7"/>
    <w:rsid w:val="003864A1"/>
    <w:rsid w:val="00387C21"/>
    <w:rsid w:val="00391062"/>
    <w:rsid w:val="003939B2"/>
    <w:rsid w:val="003970A7"/>
    <w:rsid w:val="0039723E"/>
    <w:rsid w:val="003977FC"/>
    <w:rsid w:val="00397ED7"/>
    <w:rsid w:val="003A0068"/>
    <w:rsid w:val="003B0DD9"/>
    <w:rsid w:val="003B0E8D"/>
    <w:rsid w:val="003B1CFD"/>
    <w:rsid w:val="003B349D"/>
    <w:rsid w:val="003B3E46"/>
    <w:rsid w:val="003B44D3"/>
    <w:rsid w:val="003B6E6F"/>
    <w:rsid w:val="003C144D"/>
    <w:rsid w:val="003C6857"/>
    <w:rsid w:val="003C7744"/>
    <w:rsid w:val="003C7A4C"/>
    <w:rsid w:val="003D1878"/>
    <w:rsid w:val="003D3135"/>
    <w:rsid w:val="003D5489"/>
    <w:rsid w:val="003D7C6F"/>
    <w:rsid w:val="003E0565"/>
    <w:rsid w:val="003E798A"/>
    <w:rsid w:val="003F68BA"/>
    <w:rsid w:val="0040068B"/>
    <w:rsid w:val="00402D15"/>
    <w:rsid w:val="00404B59"/>
    <w:rsid w:val="004055EE"/>
    <w:rsid w:val="00406FB2"/>
    <w:rsid w:val="00407F38"/>
    <w:rsid w:val="004126AB"/>
    <w:rsid w:val="00413BA5"/>
    <w:rsid w:val="00416459"/>
    <w:rsid w:val="0041682A"/>
    <w:rsid w:val="00417207"/>
    <w:rsid w:val="00420B8C"/>
    <w:rsid w:val="0042162A"/>
    <w:rsid w:val="004220B9"/>
    <w:rsid w:val="00424ADF"/>
    <w:rsid w:val="00425A95"/>
    <w:rsid w:val="004352FB"/>
    <w:rsid w:val="00436801"/>
    <w:rsid w:val="0044197B"/>
    <w:rsid w:val="00443B03"/>
    <w:rsid w:val="00454727"/>
    <w:rsid w:val="00454F15"/>
    <w:rsid w:val="004562D5"/>
    <w:rsid w:val="00466201"/>
    <w:rsid w:val="004665AD"/>
    <w:rsid w:val="00470416"/>
    <w:rsid w:val="004736BB"/>
    <w:rsid w:val="00476B48"/>
    <w:rsid w:val="0048004A"/>
    <w:rsid w:val="00483102"/>
    <w:rsid w:val="0048326D"/>
    <w:rsid w:val="0048419B"/>
    <w:rsid w:val="00486AE7"/>
    <w:rsid w:val="00487C38"/>
    <w:rsid w:val="004916F7"/>
    <w:rsid w:val="00493194"/>
    <w:rsid w:val="004954D1"/>
    <w:rsid w:val="00497C4B"/>
    <w:rsid w:val="004B12C4"/>
    <w:rsid w:val="004B3163"/>
    <w:rsid w:val="004B3689"/>
    <w:rsid w:val="004B38F1"/>
    <w:rsid w:val="004B3CB8"/>
    <w:rsid w:val="004B3F1F"/>
    <w:rsid w:val="004B4A04"/>
    <w:rsid w:val="004B5060"/>
    <w:rsid w:val="004B6366"/>
    <w:rsid w:val="004B737D"/>
    <w:rsid w:val="004C14BA"/>
    <w:rsid w:val="004C2109"/>
    <w:rsid w:val="004D02FB"/>
    <w:rsid w:val="004D20F7"/>
    <w:rsid w:val="004D23BE"/>
    <w:rsid w:val="004D4041"/>
    <w:rsid w:val="004D72FC"/>
    <w:rsid w:val="004E0773"/>
    <w:rsid w:val="004E4979"/>
    <w:rsid w:val="004E4F15"/>
    <w:rsid w:val="004E5382"/>
    <w:rsid w:val="004E619D"/>
    <w:rsid w:val="004E6BCE"/>
    <w:rsid w:val="004E7270"/>
    <w:rsid w:val="004F566E"/>
    <w:rsid w:val="004F5E4D"/>
    <w:rsid w:val="004F6A1C"/>
    <w:rsid w:val="004F74D4"/>
    <w:rsid w:val="0050283F"/>
    <w:rsid w:val="00505EE1"/>
    <w:rsid w:val="00506E0D"/>
    <w:rsid w:val="005145CE"/>
    <w:rsid w:val="00516D26"/>
    <w:rsid w:val="005208EE"/>
    <w:rsid w:val="0052161D"/>
    <w:rsid w:val="0052224A"/>
    <w:rsid w:val="00527861"/>
    <w:rsid w:val="00530A05"/>
    <w:rsid w:val="0053283E"/>
    <w:rsid w:val="00533285"/>
    <w:rsid w:val="00533D6B"/>
    <w:rsid w:val="00533FD8"/>
    <w:rsid w:val="00534934"/>
    <w:rsid w:val="005379A3"/>
    <w:rsid w:val="00541ED7"/>
    <w:rsid w:val="005440F4"/>
    <w:rsid w:val="00544FA8"/>
    <w:rsid w:val="0054783E"/>
    <w:rsid w:val="00550C17"/>
    <w:rsid w:val="00563908"/>
    <w:rsid w:val="005652C6"/>
    <w:rsid w:val="00565D61"/>
    <w:rsid w:val="00567BF8"/>
    <w:rsid w:val="00570EE2"/>
    <w:rsid w:val="005717AB"/>
    <w:rsid w:val="005725AC"/>
    <w:rsid w:val="0057336C"/>
    <w:rsid w:val="00574C55"/>
    <w:rsid w:val="00576AA5"/>
    <w:rsid w:val="005817BC"/>
    <w:rsid w:val="00590D22"/>
    <w:rsid w:val="00596CDA"/>
    <w:rsid w:val="00597710"/>
    <w:rsid w:val="00597838"/>
    <w:rsid w:val="005A72AE"/>
    <w:rsid w:val="005C10AE"/>
    <w:rsid w:val="005C2EF9"/>
    <w:rsid w:val="005C4445"/>
    <w:rsid w:val="005C6897"/>
    <w:rsid w:val="005D25D9"/>
    <w:rsid w:val="005D3F1B"/>
    <w:rsid w:val="005D4CD3"/>
    <w:rsid w:val="005D7597"/>
    <w:rsid w:val="005E1DA1"/>
    <w:rsid w:val="005E1E5E"/>
    <w:rsid w:val="005E36F8"/>
    <w:rsid w:val="005E3EA5"/>
    <w:rsid w:val="005E56CA"/>
    <w:rsid w:val="005E7BCB"/>
    <w:rsid w:val="005F20DB"/>
    <w:rsid w:val="005F34C0"/>
    <w:rsid w:val="005F61AB"/>
    <w:rsid w:val="0060199F"/>
    <w:rsid w:val="00611997"/>
    <w:rsid w:val="00613E27"/>
    <w:rsid w:val="006144C5"/>
    <w:rsid w:val="00616F1F"/>
    <w:rsid w:val="00617E97"/>
    <w:rsid w:val="006221FF"/>
    <w:rsid w:val="006232CB"/>
    <w:rsid w:val="00623D07"/>
    <w:rsid w:val="006254A1"/>
    <w:rsid w:val="00625FFF"/>
    <w:rsid w:val="006263AA"/>
    <w:rsid w:val="006272FB"/>
    <w:rsid w:val="0064154F"/>
    <w:rsid w:val="00643CA4"/>
    <w:rsid w:val="00647D11"/>
    <w:rsid w:val="006528C2"/>
    <w:rsid w:val="00653911"/>
    <w:rsid w:val="006552A4"/>
    <w:rsid w:val="00656602"/>
    <w:rsid w:val="00660E4D"/>
    <w:rsid w:val="00661D59"/>
    <w:rsid w:val="00662722"/>
    <w:rsid w:val="00663F9B"/>
    <w:rsid w:val="00664767"/>
    <w:rsid w:val="00673633"/>
    <w:rsid w:val="00674B93"/>
    <w:rsid w:val="00675985"/>
    <w:rsid w:val="006760E0"/>
    <w:rsid w:val="00677DFF"/>
    <w:rsid w:val="00681AD4"/>
    <w:rsid w:val="00681E9B"/>
    <w:rsid w:val="00684BB7"/>
    <w:rsid w:val="006857FB"/>
    <w:rsid w:val="006860DE"/>
    <w:rsid w:val="00686E99"/>
    <w:rsid w:val="00692AA6"/>
    <w:rsid w:val="006943E6"/>
    <w:rsid w:val="006945FC"/>
    <w:rsid w:val="006967ED"/>
    <w:rsid w:val="006970FB"/>
    <w:rsid w:val="006A0861"/>
    <w:rsid w:val="006A1C46"/>
    <w:rsid w:val="006A56AA"/>
    <w:rsid w:val="006A5D92"/>
    <w:rsid w:val="006B2AA9"/>
    <w:rsid w:val="006B2E4B"/>
    <w:rsid w:val="006B3C18"/>
    <w:rsid w:val="006B3FA6"/>
    <w:rsid w:val="006B5259"/>
    <w:rsid w:val="006C0A23"/>
    <w:rsid w:val="006C0C5B"/>
    <w:rsid w:val="006C1C0E"/>
    <w:rsid w:val="006C30EC"/>
    <w:rsid w:val="006C6694"/>
    <w:rsid w:val="006C6867"/>
    <w:rsid w:val="006D03B8"/>
    <w:rsid w:val="006D1598"/>
    <w:rsid w:val="006D21F8"/>
    <w:rsid w:val="006D7106"/>
    <w:rsid w:val="006E11F8"/>
    <w:rsid w:val="006E2040"/>
    <w:rsid w:val="006E6079"/>
    <w:rsid w:val="006E792E"/>
    <w:rsid w:val="006E7E89"/>
    <w:rsid w:val="006F44BC"/>
    <w:rsid w:val="007027AE"/>
    <w:rsid w:val="00704DA8"/>
    <w:rsid w:val="0070525D"/>
    <w:rsid w:val="00710EE1"/>
    <w:rsid w:val="007113A5"/>
    <w:rsid w:val="00712EEC"/>
    <w:rsid w:val="007166B4"/>
    <w:rsid w:val="00716EA6"/>
    <w:rsid w:val="0072761E"/>
    <w:rsid w:val="007308F7"/>
    <w:rsid w:val="00731E81"/>
    <w:rsid w:val="00732B0B"/>
    <w:rsid w:val="00732C9F"/>
    <w:rsid w:val="00746601"/>
    <w:rsid w:val="00750CFA"/>
    <w:rsid w:val="00750D26"/>
    <w:rsid w:val="00753814"/>
    <w:rsid w:val="00753FBB"/>
    <w:rsid w:val="00756EA6"/>
    <w:rsid w:val="00765539"/>
    <w:rsid w:val="00773B4E"/>
    <w:rsid w:val="00777C95"/>
    <w:rsid w:val="007847C5"/>
    <w:rsid w:val="00784C0B"/>
    <w:rsid w:val="007933D7"/>
    <w:rsid w:val="00794227"/>
    <w:rsid w:val="007943D3"/>
    <w:rsid w:val="00796E8A"/>
    <w:rsid w:val="007A0F6A"/>
    <w:rsid w:val="007A16C7"/>
    <w:rsid w:val="007A4C45"/>
    <w:rsid w:val="007A52D3"/>
    <w:rsid w:val="007A67CC"/>
    <w:rsid w:val="007B5162"/>
    <w:rsid w:val="007C01B0"/>
    <w:rsid w:val="007C0AE6"/>
    <w:rsid w:val="007C4A98"/>
    <w:rsid w:val="007C6E3F"/>
    <w:rsid w:val="007D1A33"/>
    <w:rsid w:val="007D383F"/>
    <w:rsid w:val="007D4C92"/>
    <w:rsid w:val="007D70D8"/>
    <w:rsid w:val="007D7C2B"/>
    <w:rsid w:val="007E006D"/>
    <w:rsid w:val="007E11F6"/>
    <w:rsid w:val="007E233F"/>
    <w:rsid w:val="007E346C"/>
    <w:rsid w:val="007E636B"/>
    <w:rsid w:val="007E7D93"/>
    <w:rsid w:val="007E7FD2"/>
    <w:rsid w:val="007F15B5"/>
    <w:rsid w:val="007F19C6"/>
    <w:rsid w:val="007F311B"/>
    <w:rsid w:val="007F55E1"/>
    <w:rsid w:val="007F5FA9"/>
    <w:rsid w:val="007F7A1C"/>
    <w:rsid w:val="007F7E87"/>
    <w:rsid w:val="007F7FCB"/>
    <w:rsid w:val="00801E6B"/>
    <w:rsid w:val="00804036"/>
    <w:rsid w:val="008064DA"/>
    <w:rsid w:val="00814D53"/>
    <w:rsid w:val="008164C8"/>
    <w:rsid w:val="00817834"/>
    <w:rsid w:val="0082275B"/>
    <w:rsid w:val="008258F4"/>
    <w:rsid w:val="008302A7"/>
    <w:rsid w:val="00831633"/>
    <w:rsid w:val="00844128"/>
    <w:rsid w:val="00845993"/>
    <w:rsid w:val="00846371"/>
    <w:rsid w:val="008469E7"/>
    <w:rsid w:val="00847908"/>
    <w:rsid w:val="00852C9B"/>
    <w:rsid w:val="00856121"/>
    <w:rsid w:val="00860C18"/>
    <w:rsid w:val="00864C00"/>
    <w:rsid w:val="0086619D"/>
    <w:rsid w:val="00866A23"/>
    <w:rsid w:val="0087236C"/>
    <w:rsid w:val="0087762B"/>
    <w:rsid w:val="00882E0B"/>
    <w:rsid w:val="00887D4E"/>
    <w:rsid w:val="008939CC"/>
    <w:rsid w:val="00895CA9"/>
    <w:rsid w:val="008A03FF"/>
    <w:rsid w:val="008A3505"/>
    <w:rsid w:val="008A47EB"/>
    <w:rsid w:val="008A75A3"/>
    <w:rsid w:val="008B0534"/>
    <w:rsid w:val="008B19E3"/>
    <w:rsid w:val="008C0922"/>
    <w:rsid w:val="008C4F0E"/>
    <w:rsid w:val="008D2775"/>
    <w:rsid w:val="008D635F"/>
    <w:rsid w:val="008D6A86"/>
    <w:rsid w:val="008D7A80"/>
    <w:rsid w:val="008E06FE"/>
    <w:rsid w:val="008E324E"/>
    <w:rsid w:val="008E6140"/>
    <w:rsid w:val="008F3398"/>
    <w:rsid w:val="00900FC6"/>
    <w:rsid w:val="009017D5"/>
    <w:rsid w:val="00902798"/>
    <w:rsid w:val="00903F3C"/>
    <w:rsid w:val="00904A7E"/>
    <w:rsid w:val="009155EB"/>
    <w:rsid w:val="00917D4E"/>
    <w:rsid w:val="00923853"/>
    <w:rsid w:val="009268B5"/>
    <w:rsid w:val="00930D9E"/>
    <w:rsid w:val="00931599"/>
    <w:rsid w:val="009315E4"/>
    <w:rsid w:val="00931D96"/>
    <w:rsid w:val="009347E9"/>
    <w:rsid w:val="00934B89"/>
    <w:rsid w:val="00934BFA"/>
    <w:rsid w:val="00935AD9"/>
    <w:rsid w:val="009366EA"/>
    <w:rsid w:val="0093718F"/>
    <w:rsid w:val="00944EF8"/>
    <w:rsid w:val="00944F86"/>
    <w:rsid w:val="0095023F"/>
    <w:rsid w:val="00962FD8"/>
    <w:rsid w:val="009701A4"/>
    <w:rsid w:val="0097145B"/>
    <w:rsid w:val="0097156E"/>
    <w:rsid w:val="00975509"/>
    <w:rsid w:val="00977935"/>
    <w:rsid w:val="00986289"/>
    <w:rsid w:val="00986ACE"/>
    <w:rsid w:val="00993658"/>
    <w:rsid w:val="00996031"/>
    <w:rsid w:val="00996B90"/>
    <w:rsid w:val="009A1FC9"/>
    <w:rsid w:val="009B00B3"/>
    <w:rsid w:val="009B1370"/>
    <w:rsid w:val="009B3175"/>
    <w:rsid w:val="009B38B2"/>
    <w:rsid w:val="009B4D05"/>
    <w:rsid w:val="009B622F"/>
    <w:rsid w:val="009B703A"/>
    <w:rsid w:val="009C3881"/>
    <w:rsid w:val="009C5C7D"/>
    <w:rsid w:val="009C7D64"/>
    <w:rsid w:val="009D2100"/>
    <w:rsid w:val="009D468E"/>
    <w:rsid w:val="009D5035"/>
    <w:rsid w:val="009D50FA"/>
    <w:rsid w:val="009D5388"/>
    <w:rsid w:val="009D6C25"/>
    <w:rsid w:val="009D7ADE"/>
    <w:rsid w:val="009E1858"/>
    <w:rsid w:val="009E1EC0"/>
    <w:rsid w:val="009E2297"/>
    <w:rsid w:val="009E31D3"/>
    <w:rsid w:val="009E36EF"/>
    <w:rsid w:val="009E3772"/>
    <w:rsid w:val="009E563D"/>
    <w:rsid w:val="009E6D1F"/>
    <w:rsid w:val="009F1028"/>
    <w:rsid w:val="009F1A7A"/>
    <w:rsid w:val="009F596A"/>
    <w:rsid w:val="009F6DBE"/>
    <w:rsid w:val="00A0199B"/>
    <w:rsid w:val="00A01BDA"/>
    <w:rsid w:val="00A04E49"/>
    <w:rsid w:val="00A13B18"/>
    <w:rsid w:val="00A265C9"/>
    <w:rsid w:val="00A33F8A"/>
    <w:rsid w:val="00A3570D"/>
    <w:rsid w:val="00A35758"/>
    <w:rsid w:val="00A3594B"/>
    <w:rsid w:val="00A35BC2"/>
    <w:rsid w:val="00A403A7"/>
    <w:rsid w:val="00A411F9"/>
    <w:rsid w:val="00A41FF3"/>
    <w:rsid w:val="00A42365"/>
    <w:rsid w:val="00A453F2"/>
    <w:rsid w:val="00A457DB"/>
    <w:rsid w:val="00A51B55"/>
    <w:rsid w:val="00A52FEC"/>
    <w:rsid w:val="00A53421"/>
    <w:rsid w:val="00A53D07"/>
    <w:rsid w:val="00A55101"/>
    <w:rsid w:val="00A5522C"/>
    <w:rsid w:val="00A60809"/>
    <w:rsid w:val="00A60E46"/>
    <w:rsid w:val="00A63A92"/>
    <w:rsid w:val="00A64759"/>
    <w:rsid w:val="00A67053"/>
    <w:rsid w:val="00A6722D"/>
    <w:rsid w:val="00A67BB5"/>
    <w:rsid w:val="00A72D45"/>
    <w:rsid w:val="00A7487B"/>
    <w:rsid w:val="00A753A5"/>
    <w:rsid w:val="00A834C7"/>
    <w:rsid w:val="00A8426F"/>
    <w:rsid w:val="00A842E6"/>
    <w:rsid w:val="00A85BFF"/>
    <w:rsid w:val="00A94A35"/>
    <w:rsid w:val="00A97336"/>
    <w:rsid w:val="00A97BAB"/>
    <w:rsid w:val="00AA0617"/>
    <w:rsid w:val="00AA1176"/>
    <w:rsid w:val="00AA2B2C"/>
    <w:rsid w:val="00AA37C0"/>
    <w:rsid w:val="00AA5780"/>
    <w:rsid w:val="00AB0A60"/>
    <w:rsid w:val="00AB121C"/>
    <w:rsid w:val="00AB3D76"/>
    <w:rsid w:val="00AB4C63"/>
    <w:rsid w:val="00AC470A"/>
    <w:rsid w:val="00AC5897"/>
    <w:rsid w:val="00AD0938"/>
    <w:rsid w:val="00AD09C2"/>
    <w:rsid w:val="00AD117B"/>
    <w:rsid w:val="00AD3E14"/>
    <w:rsid w:val="00AE4C55"/>
    <w:rsid w:val="00AE50DB"/>
    <w:rsid w:val="00AE6038"/>
    <w:rsid w:val="00AF0563"/>
    <w:rsid w:val="00AF1133"/>
    <w:rsid w:val="00AF2118"/>
    <w:rsid w:val="00AF3F07"/>
    <w:rsid w:val="00AF68D2"/>
    <w:rsid w:val="00B01264"/>
    <w:rsid w:val="00B02926"/>
    <w:rsid w:val="00B03381"/>
    <w:rsid w:val="00B03A66"/>
    <w:rsid w:val="00B05D18"/>
    <w:rsid w:val="00B071F2"/>
    <w:rsid w:val="00B121D2"/>
    <w:rsid w:val="00B13EE5"/>
    <w:rsid w:val="00B1404E"/>
    <w:rsid w:val="00B1533B"/>
    <w:rsid w:val="00B1729F"/>
    <w:rsid w:val="00B20B82"/>
    <w:rsid w:val="00B21BE4"/>
    <w:rsid w:val="00B23B7A"/>
    <w:rsid w:val="00B24D55"/>
    <w:rsid w:val="00B32CE2"/>
    <w:rsid w:val="00B351B8"/>
    <w:rsid w:val="00B3591B"/>
    <w:rsid w:val="00B37DA9"/>
    <w:rsid w:val="00B40EFE"/>
    <w:rsid w:val="00B41CD9"/>
    <w:rsid w:val="00B43FF6"/>
    <w:rsid w:val="00B467C2"/>
    <w:rsid w:val="00B51420"/>
    <w:rsid w:val="00B550CC"/>
    <w:rsid w:val="00B5719C"/>
    <w:rsid w:val="00B57393"/>
    <w:rsid w:val="00B6363D"/>
    <w:rsid w:val="00B648BC"/>
    <w:rsid w:val="00B6645E"/>
    <w:rsid w:val="00B67EB6"/>
    <w:rsid w:val="00B70C97"/>
    <w:rsid w:val="00B74266"/>
    <w:rsid w:val="00B76130"/>
    <w:rsid w:val="00B77792"/>
    <w:rsid w:val="00B8010E"/>
    <w:rsid w:val="00B81A20"/>
    <w:rsid w:val="00B8209F"/>
    <w:rsid w:val="00B905B3"/>
    <w:rsid w:val="00B90634"/>
    <w:rsid w:val="00B91AE9"/>
    <w:rsid w:val="00B91D79"/>
    <w:rsid w:val="00B922FC"/>
    <w:rsid w:val="00B923A5"/>
    <w:rsid w:val="00B923C8"/>
    <w:rsid w:val="00B92462"/>
    <w:rsid w:val="00B927DD"/>
    <w:rsid w:val="00B9321C"/>
    <w:rsid w:val="00B936B4"/>
    <w:rsid w:val="00B96601"/>
    <w:rsid w:val="00BA311B"/>
    <w:rsid w:val="00BA40BE"/>
    <w:rsid w:val="00BB0109"/>
    <w:rsid w:val="00BB05DE"/>
    <w:rsid w:val="00BB3129"/>
    <w:rsid w:val="00BB45AF"/>
    <w:rsid w:val="00BB52C9"/>
    <w:rsid w:val="00BB6C23"/>
    <w:rsid w:val="00BB6D0B"/>
    <w:rsid w:val="00BC3467"/>
    <w:rsid w:val="00BC6840"/>
    <w:rsid w:val="00BD1FEA"/>
    <w:rsid w:val="00BD3F11"/>
    <w:rsid w:val="00BD3F21"/>
    <w:rsid w:val="00BD3FBA"/>
    <w:rsid w:val="00BD4BFE"/>
    <w:rsid w:val="00BD5635"/>
    <w:rsid w:val="00BE43ED"/>
    <w:rsid w:val="00BE614B"/>
    <w:rsid w:val="00BF20EC"/>
    <w:rsid w:val="00BF21E8"/>
    <w:rsid w:val="00BF2F71"/>
    <w:rsid w:val="00BF75D0"/>
    <w:rsid w:val="00BF7B33"/>
    <w:rsid w:val="00C01F0E"/>
    <w:rsid w:val="00C041B7"/>
    <w:rsid w:val="00C07DDD"/>
    <w:rsid w:val="00C10F43"/>
    <w:rsid w:val="00C13AC0"/>
    <w:rsid w:val="00C14BB2"/>
    <w:rsid w:val="00C16C12"/>
    <w:rsid w:val="00C17687"/>
    <w:rsid w:val="00C200CC"/>
    <w:rsid w:val="00C2040E"/>
    <w:rsid w:val="00C231F6"/>
    <w:rsid w:val="00C30721"/>
    <w:rsid w:val="00C30F77"/>
    <w:rsid w:val="00C317A3"/>
    <w:rsid w:val="00C31A32"/>
    <w:rsid w:val="00C32018"/>
    <w:rsid w:val="00C32984"/>
    <w:rsid w:val="00C3308C"/>
    <w:rsid w:val="00C33AC8"/>
    <w:rsid w:val="00C366CB"/>
    <w:rsid w:val="00C371D1"/>
    <w:rsid w:val="00C37A9D"/>
    <w:rsid w:val="00C51112"/>
    <w:rsid w:val="00C51B9A"/>
    <w:rsid w:val="00C542B2"/>
    <w:rsid w:val="00C54519"/>
    <w:rsid w:val="00C56419"/>
    <w:rsid w:val="00C56AD5"/>
    <w:rsid w:val="00C64CE9"/>
    <w:rsid w:val="00C67D1B"/>
    <w:rsid w:val="00C701D0"/>
    <w:rsid w:val="00C73289"/>
    <w:rsid w:val="00C82A82"/>
    <w:rsid w:val="00C869D8"/>
    <w:rsid w:val="00C913F4"/>
    <w:rsid w:val="00C918CF"/>
    <w:rsid w:val="00C92862"/>
    <w:rsid w:val="00CA1CC6"/>
    <w:rsid w:val="00CA65C1"/>
    <w:rsid w:val="00CA73EE"/>
    <w:rsid w:val="00CA7ADA"/>
    <w:rsid w:val="00CB337E"/>
    <w:rsid w:val="00CB7049"/>
    <w:rsid w:val="00CC6197"/>
    <w:rsid w:val="00CC669E"/>
    <w:rsid w:val="00CC707B"/>
    <w:rsid w:val="00CD38A1"/>
    <w:rsid w:val="00CD4022"/>
    <w:rsid w:val="00CD6A7E"/>
    <w:rsid w:val="00CE4B79"/>
    <w:rsid w:val="00CE53C5"/>
    <w:rsid w:val="00CE6037"/>
    <w:rsid w:val="00CF128B"/>
    <w:rsid w:val="00CF150F"/>
    <w:rsid w:val="00CF5E80"/>
    <w:rsid w:val="00D00970"/>
    <w:rsid w:val="00D02114"/>
    <w:rsid w:val="00D028BF"/>
    <w:rsid w:val="00D029DF"/>
    <w:rsid w:val="00D0378E"/>
    <w:rsid w:val="00D042D2"/>
    <w:rsid w:val="00D05114"/>
    <w:rsid w:val="00D05D8E"/>
    <w:rsid w:val="00D0698E"/>
    <w:rsid w:val="00D15E46"/>
    <w:rsid w:val="00D178F7"/>
    <w:rsid w:val="00D22261"/>
    <w:rsid w:val="00D2245F"/>
    <w:rsid w:val="00D2268A"/>
    <w:rsid w:val="00D22EAB"/>
    <w:rsid w:val="00D238CF"/>
    <w:rsid w:val="00D25898"/>
    <w:rsid w:val="00D267D1"/>
    <w:rsid w:val="00D27091"/>
    <w:rsid w:val="00D31E7D"/>
    <w:rsid w:val="00D32AA5"/>
    <w:rsid w:val="00D34B29"/>
    <w:rsid w:val="00D34D50"/>
    <w:rsid w:val="00D40F17"/>
    <w:rsid w:val="00D4334A"/>
    <w:rsid w:val="00D45EA5"/>
    <w:rsid w:val="00D468FB"/>
    <w:rsid w:val="00D51571"/>
    <w:rsid w:val="00D566EF"/>
    <w:rsid w:val="00D573F8"/>
    <w:rsid w:val="00D605EB"/>
    <w:rsid w:val="00D60C54"/>
    <w:rsid w:val="00D61985"/>
    <w:rsid w:val="00D64203"/>
    <w:rsid w:val="00D6507F"/>
    <w:rsid w:val="00D650C5"/>
    <w:rsid w:val="00D6755E"/>
    <w:rsid w:val="00D7484B"/>
    <w:rsid w:val="00D83014"/>
    <w:rsid w:val="00D83CF1"/>
    <w:rsid w:val="00D84B79"/>
    <w:rsid w:val="00D91E0B"/>
    <w:rsid w:val="00D923F9"/>
    <w:rsid w:val="00D94791"/>
    <w:rsid w:val="00D9574B"/>
    <w:rsid w:val="00D95DFD"/>
    <w:rsid w:val="00D970FA"/>
    <w:rsid w:val="00DA13F5"/>
    <w:rsid w:val="00DA6E6D"/>
    <w:rsid w:val="00DB0BEF"/>
    <w:rsid w:val="00DB2B0D"/>
    <w:rsid w:val="00DB6C9B"/>
    <w:rsid w:val="00DC2137"/>
    <w:rsid w:val="00DC4BC7"/>
    <w:rsid w:val="00DC4C37"/>
    <w:rsid w:val="00DD2E52"/>
    <w:rsid w:val="00DD4244"/>
    <w:rsid w:val="00DD61AB"/>
    <w:rsid w:val="00DD6562"/>
    <w:rsid w:val="00DD7351"/>
    <w:rsid w:val="00DD7417"/>
    <w:rsid w:val="00DE0E72"/>
    <w:rsid w:val="00DE274F"/>
    <w:rsid w:val="00DE38B2"/>
    <w:rsid w:val="00DE4ACF"/>
    <w:rsid w:val="00DE5DFC"/>
    <w:rsid w:val="00DF1D4A"/>
    <w:rsid w:val="00DF3562"/>
    <w:rsid w:val="00DF46E4"/>
    <w:rsid w:val="00DF4AE5"/>
    <w:rsid w:val="00DF5D7C"/>
    <w:rsid w:val="00E03FE6"/>
    <w:rsid w:val="00E041EC"/>
    <w:rsid w:val="00E04BEA"/>
    <w:rsid w:val="00E114EC"/>
    <w:rsid w:val="00E11CE2"/>
    <w:rsid w:val="00E131B1"/>
    <w:rsid w:val="00E13E56"/>
    <w:rsid w:val="00E140F9"/>
    <w:rsid w:val="00E22732"/>
    <w:rsid w:val="00E23F6C"/>
    <w:rsid w:val="00E3252A"/>
    <w:rsid w:val="00E33712"/>
    <w:rsid w:val="00E352B9"/>
    <w:rsid w:val="00E414F0"/>
    <w:rsid w:val="00E46295"/>
    <w:rsid w:val="00E53E0D"/>
    <w:rsid w:val="00E54240"/>
    <w:rsid w:val="00E56F33"/>
    <w:rsid w:val="00E60C03"/>
    <w:rsid w:val="00E62016"/>
    <w:rsid w:val="00E650E2"/>
    <w:rsid w:val="00E66F8B"/>
    <w:rsid w:val="00E6768F"/>
    <w:rsid w:val="00E71DC1"/>
    <w:rsid w:val="00E73073"/>
    <w:rsid w:val="00E73A1D"/>
    <w:rsid w:val="00E73D24"/>
    <w:rsid w:val="00E75C95"/>
    <w:rsid w:val="00E76521"/>
    <w:rsid w:val="00E7756C"/>
    <w:rsid w:val="00E81273"/>
    <w:rsid w:val="00E87DB1"/>
    <w:rsid w:val="00E90ACC"/>
    <w:rsid w:val="00E90BC3"/>
    <w:rsid w:val="00E9539A"/>
    <w:rsid w:val="00E95D49"/>
    <w:rsid w:val="00E96A56"/>
    <w:rsid w:val="00EA05A8"/>
    <w:rsid w:val="00EA14AA"/>
    <w:rsid w:val="00EA3072"/>
    <w:rsid w:val="00EA37C5"/>
    <w:rsid w:val="00EA6C9F"/>
    <w:rsid w:val="00EB335D"/>
    <w:rsid w:val="00EB626A"/>
    <w:rsid w:val="00EB7CBF"/>
    <w:rsid w:val="00EC1DFC"/>
    <w:rsid w:val="00EC2397"/>
    <w:rsid w:val="00EC2554"/>
    <w:rsid w:val="00EC4F6E"/>
    <w:rsid w:val="00EC6846"/>
    <w:rsid w:val="00ED0DF0"/>
    <w:rsid w:val="00ED36F3"/>
    <w:rsid w:val="00ED3B48"/>
    <w:rsid w:val="00ED5E49"/>
    <w:rsid w:val="00ED7A90"/>
    <w:rsid w:val="00EE4608"/>
    <w:rsid w:val="00EE6669"/>
    <w:rsid w:val="00EE6E1F"/>
    <w:rsid w:val="00EF1624"/>
    <w:rsid w:val="00EF37E5"/>
    <w:rsid w:val="00EF6B53"/>
    <w:rsid w:val="00EF7346"/>
    <w:rsid w:val="00EF7B20"/>
    <w:rsid w:val="00F0617C"/>
    <w:rsid w:val="00F124B8"/>
    <w:rsid w:val="00F1551E"/>
    <w:rsid w:val="00F16178"/>
    <w:rsid w:val="00F21458"/>
    <w:rsid w:val="00F2151C"/>
    <w:rsid w:val="00F26753"/>
    <w:rsid w:val="00F27CC1"/>
    <w:rsid w:val="00F32425"/>
    <w:rsid w:val="00F32994"/>
    <w:rsid w:val="00F373F5"/>
    <w:rsid w:val="00F424C4"/>
    <w:rsid w:val="00F440A4"/>
    <w:rsid w:val="00F44264"/>
    <w:rsid w:val="00F463D3"/>
    <w:rsid w:val="00F46FD2"/>
    <w:rsid w:val="00F51289"/>
    <w:rsid w:val="00F523B8"/>
    <w:rsid w:val="00F53D1D"/>
    <w:rsid w:val="00F55B4E"/>
    <w:rsid w:val="00F57E98"/>
    <w:rsid w:val="00F57EE2"/>
    <w:rsid w:val="00F60CC9"/>
    <w:rsid w:val="00F61134"/>
    <w:rsid w:val="00F626D9"/>
    <w:rsid w:val="00F67558"/>
    <w:rsid w:val="00F7041B"/>
    <w:rsid w:val="00F73710"/>
    <w:rsid w:val="00F801E2"/>
    <w:rsid w:val="00F82EEF"/>
    <w:rsid w:val="00F82FD1"/>
    <w:rsid w:val="00F8378B"/>
    <w:rsid w:val="00F84434"/>
    <w:rsid w:val="00F97C92"/>
    <w:rsid w:val="00FA1F7B"/>
    <w:rsid w:val="00FA5728"/>
    <w:rsid w:val="00FB271C"/>
    <w:rsid w:val="00FB2B5A"/>
    <w:rsid w:val="00FB5473"/>
    <w:rsid w:val="00FB57F1"/>
    <w:rsid w:val="00FB70A6"/>
    <w:rsid w:val="00FC02BC"/>
    <w:rsid w:val="00FC09A8"/>
    <w:rsid w:val="00FC1885"/>
    <w:rsid w:val="00FC1F25"/>
    <w:rsid w:val="00FC4622"/>
    <w:rsid w:val="00FC4F65"/>
    <w:rsid w:val="00FC5E29"/>
    <w:rsid w:val="00FC7AF3"/>
    <w:rsid w:val="00FD0D4C"/>
    <w:rsid w:val="00FD162E"/>
    <w:rsid w:val="00FD2E86"/>
    <w:rsid w:val="00FD31D2"/>
    <w:rsid w:val="00FD31E1"/>
    <w:rsid w:val="00FD68C5"/>
    <w:rsid w:val="00FF1391"/>
    <w:rsid w:val="00FF16B1"/>
    <w:rsid w:val="00FF329B"/>
    <w:rsid w:val="00FF38F9"/>
    <w:rsid w:val="00FF4938"/>
    <w:rsid w:val="00FF780D"/>
  </w:rsids>
  <m:mathPr>
    <m:mathFont m:val="Cambria Math"/>
    <m:brkBin m:val="before"/>
    <m:brkBinSub m:val="--"/>
    <m:smallFrac/>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603FA5"/>
  <w15:chartTrackingRefBased/>
  <w15:docId w15:val="{80C5D6FA-FA93-4DDC-B01D-C63C3F39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 w:eastAsia="ru-BY"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B4E"/>
    <w:pPr>
      <w:spacing w:after="200" w:line="276" w:lineRule="auto"/>
    </w:pPr>
    <w:rPr>
      <w:sz w:val="22"/>
      <w:szCs w:val="22"/>
      <w:lang w:eastAsia="en-US"/>
    </w:rPr>
  </w:style>
  <w:style w:type="paragraph" w:styleId="1">
    <w:name w:val="heading 1"/>
    <w:basedOn w:val="a"/>
    <w:next w:val="a"/>
    <w:link w:val="10"/>
    <w:uiPriority w:val="99"/>
    <w:qFormat/>
    <w:rsid w:val="002C466B"/>
    <w:pPr>
      <w:keepNext/>
      <w:spacing w:after="0" w:line="240" w:lineRule="auto"/>
      <w:ind w:firstLine="426"/>
      <w:outlineLvl w:val="0"/>
    </w:pPr>
    <w:rPr>
      <w:rFonts w:ascii="Arial" w:hAnsi="Arial"/>
      <w:sz w:val="24"/>
      <w:szCs w:val="20"/>
      <w:lang w:eastAsia="x-none"/>
    </w:rPr>
  </w:style>
  <w:style w:type="paragraph" w:styleId="2">
    <w:name w:val="heading 2"/>
    <w:basedOn w:val="a"/>
    <w:next w:val="a"/>
    <w:link w:val="20"/>
    <w:uiPriority w:val="99"/>
    <w:qFormat/>
    <w:rsid w:val="002C466B"/>
    <w:pPr>
      <w:keepNext/>
      <w:spacing w:after="0" w:line="240" w:lineRule="auto"/>
      <w:ind w:firstLine="567"/>
      <w:outlineLvl w:val="1"/>
    </w:pPr>
    <w:rPr>
      <w:rFonts w:ascii="Arial" w:hAnsi="Arial"/>
      <w:b/>
      <w:sz w:val="28"/>
      <w:szCs w:val="20"/>
      <w:lang w:eastAsia="x-none"/>
    </w:rPr>
  </w:style>
  <w:style w:type="paragraph" w:styleId="3">
    <w:name w:val="heading 3"/>
    <w:basedOn w:val="a"/>
    <w:next w:val="a"/>
    <w:link w:val="30"/>
    <w:uiPriority w:val="99"/>
    <w:qFormat/>
    <w:rsid w:val="004C2109"/>
    <w:pPr>
      <w:keepNext/>
      <w:spacing w:before="240" w:after="60"/>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466B"/>
    <w:rPr>
      <w:rFonts w:ascii="Arial" w:hAnsi="Arial" w:cs="Times New Roman"/>
      <w:sz w:val="24"/>
    </w:rPr>
  </w:style>
  <w:style w:type="character" w:customStyle="1" w:styleId="20">
    <w:name w:val="Заголовок 2 Знак"/>
    <w:link w:val="2"/>
    <w:uiPriority w:val="99"/>
    <w:locked/>
    <w:rsid w:val="002C466B"/>
    <w:rPr>
      <w:rFonts w:ascii="Arial" w:hAnsi="Arial" w:cs="Times New Roman"/>
      <w:b/>
      <w:sz w:val="28"/>
    </w:rPr>
  </w:style>
  <w:style w:type="character" w:customStyle="1" w:styleId="30">
    <w:name w:val="Заголовок 3 Знак"/>
    <w:link w:val="3"/>
    <w:uiPriority w:val="99"/>
    <w:semiHidden/>
    <w:locked/>
    <w:rsid w:val="004C2109"/>
    <w:rPr>
      <w:rFonts w:ascii="Cambria" w:hAnsi="Cambria" w:cs="Times New Roman"/>
      <w:b/>
      <w:sz w:val="26"/>
      <w:lang w:val="en" w:eastAsia="en-US"/>
    </w:rPr>
  </w:style>
  <w:style w:type="character" w:styleId="a3">
    <w:name w:val="Hyperlink"/>
    <w:uiPriority w:val="99"/>
    <w:rsid w:val="002C466B"/>
    <w:rPr>
      <w:rFonts w:cs="Times New Roman"/>
      <w:color w:val="0000FF"/>
      <w:u w:val="single"/>
    </w:rPr>
  </w:style>
  <w:style w:type="paragraph" w:styleId="a4">
    <w:name w:val="Body Text"/>
    <w:basedOn w:val="a"/>
    <w:link w:val="a5"/>
    <w:uiPriority w:val="99"/>
    <w:rsid w:val="002C466B"/>
    <w:pPr>
      <w:spacing w:after="0" w:line="240" w:lineRule="auto"/>
    </w:pPr>
    <w:rPr>
      <w:rFonts w:ascii="Arial" w:hAnsi="Arial"/>
      <w:sz w:val="28"/>
      <w:szCs w:val="20"/>
      <w:lang w:eastAsia="x-none"/>
    </w:rPr>
  </w:style>
  <w:style w:type="character" w:customStyle="1" w:styleId="a5">
    <w:name w:val="Основной текст Знак"/>
    <w:link w:val="a4"/>
    <w:uiPriority w:val="99"/>
    <w:locked/>
    <w:rsid w:val="002C466B"/>
    <w:rPr>
      <w:rFonts w:ascii="Arial" w:hAnsi="Arial" w:cs="Times New Roman"/>
      <w:sz w:val="28"/>
    </w:rPr>
  </w:style>
  <w:style w:type="paragraph" w:customStyle="1" w:styleId="a6">
    <w:name w:val="ÎãëàâëÌÝÊ"/>
    <w:basedOn w:val="a"/>
    <w:uiPriority w:val="99"/>
    <w:rsid w:val="002C466B"/>
    <w:pPr>
      <w:tabs>
        <w:tab w:val="left" w:pos="9639"/>
      </w:tabs>
      <w:spacing w:after="0" w:line="360" w:lineRule="auto"/>
      <w:jc w:val="both"/>
    </w:pPr>
    <w:rPr>
      <w:rFonts w:ascii="Times New Roman" w:eastAsia="Times New Roman" w:hAnsi="Times New Roman"/>
      <w:noProof/>
      <w:spacing w:val="20"/>
      <w:sz w:val="28"/>
      <w:szCs w:val="20"/>
      <w:lang w:eastAsia="ru-RU"/>
    </w:rPr>
  </w:style>
  <w:style w:type="paragraph" w:styleId="a7">
    <w:name w:val="header"/>
    <w:basedOn w:val="a"/>
    <w:link w:val="a8"/>
    <w:uiPriority w:val="99"/>
    <w:rsid w:val="002C466B"/>
    <w:pPr>
      <w:widowControl w:val="0"/>
      <w:tabs>
        <w:tab w:val="center" w:pos="4153"/>
        <w:tab w:val="right" w:pos="8306"/>
      </w:tabs>
      <w:spacing w:after="0" w:line="320" w:lineRule="auto"/>
      <w:ind w:right="2200" w:hanging="20"/>
    </w:pPr>
    <w:rPr>
      <w:rFonts w:ascii="Courier New" w:hAnsi="Courier New"/>
      <w:sz w:val="18"/>
      <w:szCs w:val="20"/>
      <w:lang w:eastAsia="x-none"/>
    </w:rPr>
  </w:style>
  <w:style w:type="character" w:customStyle="1" w:styleId="a8">
    <w:name w:val="Верхний колонтитул Знак"/>
    <w:link w:val="a7"/>
    <w:uiPriority w:val="99"/>
    <w:locked/>
    <w:rsid w:val="002C466B"/>
    <w:rPr>
      <w:rFonts w:ascii="Courier New" w:hAnsi="Courier New" w:cs="Times New Roman"/>
      <w:sz w:val="18"/>
    </w:rPr>
  </w:style>
  <w:style w:type="character" w:customStyle="1" w:styleId="hps">
    <w:name w:val="hps"/>
    <w:uiPriority w:val="99"/>
    <w:rsid w:val="00295719"/>
  </w:style>
  <w:style w:type="paragraph" w:styleId="a9">
    <w:name w:val="footer"/>
    <w:basedOn w:val="a"/>
    <w:link w:val="aa"/>
    <w:uiPriority w:val="99"/>
    <w:rsid w:val="00034B58"/>
    <w:pPr>
      <w:tabs>
        <w:tab w:val="center" w:pos="4677"/>
        <w:tab w:val="right" w:pos="9355"/>
      </w:tabs>
    </w:pPr>
    <w:rPr>
      <w:szCs w:val="20"/>
    </w:rPr>
  </w:style>
  <w:style w:type="character" w:customStyle="1" w:styleId="aa">
    <w:name w:val="Нижний колонтитул Знак"/>
    <w:link w:val="a9"/>
    <w:uiPriority w:val="99"/>
    <w:locked/>
    <w:rsid w:val="00034B58"/>
    <w:rPr>
      <w:rFonts w:cs="Times New Roman"/>
      <w:sz w:val="22"/>
      <w:lang w:val="en" w:eastAsia="en-US"/>
    </w:rPr>
  </w:style>
  <w:style w:type="paragraph" w:styleId="11">
    <w:name w:val="toc 1"/>
    <w:basedOn w:val="a"/>
    <w:next w:val="a"/>
    <w:autoRedefine/>
    <w:uiPriority w:val="99"/>
    <w:rsid w:val="00420B8C"/>
    <w:pPr>
      <w:spacing w:after="0" w:line="240" w:lineRule="auto"/>
      <w:ind w:left="34" w:right="9"/>
    </w:pPr>
    <w:rPr>
      <w:rFonts w:ascii="Times New Roman" w:eastAsia="Times New Roman" w:hAnsi="Times New Roman"/>
      <w:b/>
      <w:sz w:val="28"/>
      <w:szCs w:val="20"/>
      <w:lang w:eastAsia="ru-RU"/>
    </w:rPr>
  </w:style>
  <w:style w:type="paragraph" w:styleId="ab">
    <w:name w:val="Plain Text"/>
    <w:basedOn w:val="a"/>
    <w:link w:val="ac"/>
    <w:rsid w:val="004C2109"/>
    <w:pPr>
      <w:spacing w:after="0" w:line="240" w:lineRule="auto"/>
    </w:pPr>
    <w:rPr>
      <w:rFonts w:ascii="Courier New" w:hAnsi="Courier New"/>
      <w:sz w:val="20"/>
      <w:szCs w:val="20"/>
      <w:lang w:eastAsia="x-none"/>
    </w:rPr>
  </w:style>
  <w:style w:type="character" w:customStyle="1" w:styleId="ac">
    <w:name w:val="Текст Знак"/>
    <w:link w:val="ab"/>
    <w:locked/>
    <w:rsid w:val="004C2109"/>
    <w:rPr>
      <w:rFonts w:ascii="Courier New" w:hAnsi="Courier New" w:cs="Times New Roman"/>
    </w:rPr>
  </w:style>
  <w:style w:type="paragraph" w:styleId="ad">
    <w:name w:val="Balloon Text"/>
    <w:basedOn w:val="a"/>
    <w:link w:val="ae"/>
    <w:uiPriority w:val="99"/>
    <w:semiHidden/>
    <w:rsid w:val="004352FB"/>
    <w:pPr>
      <w:spacing w:after="0" w:line="240" w:lineRule="auto"/>
    </w:pPr>
    <w:rPr>
      <w:rFonts w:ascii="Tahoma" w:hAnsi="Tahoma"/>
      <w:sz w:val="16"/>
      <w:szCs w:val="20"/>
    </w:rPr>
  </w:style>
  <w:style w:type="character" w:customStyle="1" w:styleId="ae">
    <w:name w:val="Текст выноски Знак"/>
    <w:link w:val="ad"/>
    <w:uiPriority w:val="99"/>
    <w:semiHidden/>
    <w:locked/>
    <w:rsid w:val="004352FB"/>
    <w:rPr>
      <w:rFonts w:ascii="Tahoma" w:hAnsi="Tahoma" w:cs="Times New Roman"/>
      <w:sz w:val="16"/>
      <w:lang w:val="en" w:eastAsia="en-US"/>
    </w:rPr>
  </w:style>
  <w:style w:type="character" w:customStyle="1" w:styleId="apple-converted-space">
    <w:name w:val="apple-converted-space"/>
    <w:uiPriority w:val="99"/>
    <w:rsid w:val="005145CE"/>
    <w:rPr>
      <w:rFonts w:cs="Times New Roman"/>
    </w:rPr>
  </w:style>
  <w:style w:type="character" w:styleId="af">
    <w:name w:val="Strong"/>
    <w:uiPriority w:val="99"/>
    <w:qFormat/>
    <w:rsid w:val="005145CE"/>
    <w:rPr>
      <w:rFonts w:cs="Times New Roman"/>
      <w:b/>
      <w:bCs/>
    </w:rPr>
  </w:style>
  <w:style w:type="character" w:customStyle="1" w:styleId="apple-style-span">
    <w:name w:val="apple-style-span"/>
    <w:uiPriority w:val="99"/>
    <w:rsid w:val="00A5522C"/>
    <w:rPr>
      <w:rFonts w:cs="Times New Roman"/>
    </w:rPr>
  </w:style>
  <w:style w:type="paragraph" w:styleId="af0">
    <w:name w:val="List Paragraph"/>
    <w:basedOn w:val="a"/>
    <w:uiPriority w:val="99"/>
    <w:qFormat/>
    <w:rsid w:val="00FC1F25"/>
    <w:pPr>
      <w:spacing w:after="0" w:line="240" w:lineRule="auto"/>
      <w:ind w:left="720" w:firstLine="851"/>
      <w:contextualSpacing/>
      <w:jc w:val="both"/>
    </w:pPr>
  </w:style>
  <w:style w:type="character" w:customStyle="1" w:styleId="af1">
    <w:name w:val="Основной текст_"/>
    <w:link w:val="21"/>
    <w:rsid w:val="00092327"/>
    <w:rPr>
      <w:rFonts w:ascii="Times New Roman" w:eastAsia="Times New Roman" w:hAnsi="Times New Roman"/>
      <w:spacing w:val="4"/>
      <w:shd w:val="clear" w:color="auto" w:fill="FFFFFF"/>
    </w:rPr>
  </w:style>
  <w:style w:type="paragraph" w:customStyle="1" w:styleId="21">
    <w:name w:val="Основной текст2"/>
    <w:basedOn w:val="a"/>
    <w:link w:val="af1"/>
    <w:rsid w:val="00092327"/>
    <w:pPr>
      <w:widowControl w:val="0"/>
      <w:shd w:val="clear" w:color="auto" w:fill="FFFFFF"/>
      <w:spacing w:after="0" w:line="0" w:lineRule="atLeast"/>
    </w:pPr>
    <w:rPr>
      <w:rFonts w:ascii="Times New Roman" w:eastAsia="Times New Roman" w:hAnsi="Times New Roman"/>
      <w:spacing w:val="4"/>
      <w:sz w:val="20"/>
      <w:szCs w:val="20"/>
      <w:lang w:eastAsia="ru-RU"/>
    </w:rPr>
  </w:style>
  <w:style w:type="paragraph" w:customStyle="1" w:styleId="19">
    <w:name w:val="Основной текст19"/>
    <w:basedOn w:val="a"/>
    <w:rsid w:val="00686E99"/>
    <w:pPr>
      <w:shd w:val="clear" w:color="auto" w:fill="FFFFFF"/>
      <w:spacing w:before="540" w:after="60" w:line="277" w:lineRule="exact"/>
      <w:ind w:hanging="960"/>
    </w:pPr>
    <w:rPr>
      <w:rFonts w:ascii="Arial" w:eastAsia="Arial" w:hAnsi="Arial" w:cs="Arial"/>
      <w:color w:val="000000"/>
      <w:sz w:val="24"/>
      <w:szCs w:val="24"/>
      <w:lang w:eastAsia="ru-RU"/>
    </w:rPr>
  </w:style>
  <w:style w:type="paragraph" w:styleId="af2">
    <w:name w:val="No Spacing"/>
    <w:uiPriority w:val="1"/>
    <w:qFormat/>
    <w:rsid w:val="00B1729F"/>
    <w:rPr>
      <w:sz w:val="22"/>
      <w:szCs w:val="22"/>
      <w:lang w:eastAsia="en-US"/>
    </w:rPr>
  </w:style>
  <w:style w:type="paragraph" w:customStyle="1" w:styleId="Default">
    <w:name w:val="Default"/>
    <w:rsid w:val="00B922FC"/>
    <w:pPr>
      <w:autoSpaceDE w:val="0"/>
      <w:autoSpaceDN w:val="0"/>
      <w:adjustRightInd w:val="0"/>
    </w:pPr>
    <w:rPr>
      <w:rFonts w:ascii="Arial" w:eastAsia="Times New Roman" w:hAnsi="Arial" w:cs="Arial"/>
      <w:color w:val="000000"/>
      <w:sz w:val="24"/>
      <w:szCs w:val="24"/>
      <w:lang w:eastAsia="ru-RU"/>
    </w:rPr>
  </w:style>
  <w:style w:type="table" w:styleId="af3">
    <w:name w:val="Table Grid"/>
    <w:basedOn w:val="a1"/>
    <w:uiPriority w:val="39"/>
    <w:locked/>
    <w:rsid w:val="00B922FC"/>
    <w:rPr>
      <w:rFonts w:eastAsia="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4C14BA"/>
    <w:rPr>
      <w:rFonts w:ascii="Times New Roman" w:hAnsi="Times New Roman" w:cs="Times New Roman" w:hint="default"/>
      <w:b w:val="0"/>
      <w:bCs w:val="0"/>
      <w:i w:val="0"/>
      <w:iCs w:val="0"/>
      <w:color w:val="000000"/>
      <w:sz w:val="24"/>
      <w:szCs w:val="24"/>
    </w:rPr>
  </w:style>
  <w:style w:type="paragraph" w:customStyle="1" w:styleId="af4">
    <w:name w:val="Обычный (веб)"/>
    <w:basedOn w:val="a"/>
    <w:uiPriority w:val="99"/>
    <w:semiHidden/>
    <w:unhideWhenUsed/>
    <w:rsid w:val="003D7C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
    <w:name w:val="fontstyle21"/>
    <w:rsid w:val="00D238CF"/>
    <w:rPr>
      <w:rFonts w:ascii="Arial-BoldItalicMT" w:hAnsi="Arial-BoldItalicMT" w:hint="default"/>
      <w:b/>
      <w:bCs/>
      <w:i/>
      <w:iCs/>
      <w:color w:val="000000"/>
      <w:sz w:val="24"/>
      <w:szCs w:val="24"/>
    </w:rPr>
  </w:style>
  <w:style w:type="character" w:customStyle="1" w:styleId="fontstyle31">
    <w:name w:val="fontstyle31"/>
    <w:rsid w:val="00D238CF"/>
    <w:rPr>
      <w:rFonts w:ascii="Arial-ItalicMT" w:hAnsi="Arial-ItalicMT" w:hint="default"/>
      <w:b w:val="0"/>
      <w:bCs w:val="0"/>
      <w:i/>
      <w:iCs/>
      <w:color w:val="000000"/>
      <w:sz w:val="24"/>
      <w:szCs w:val="24"/>
    </w:rPr>
  </w:style>
  <w:style w:type="paragraph" w:styleId="af5">
    <w:name w:val="endnote text"/>
    <w:basedOn w:val="a"/>
    <w:link w:val="af6"/>
    <w:uiPriority w:val="99"/>
    <w:semiHidden/>
    <w:unhideWhenUsed/>
    <w:rsid w:val="00AB121C"/>
    <w:rPr>
      <w:sz w:val="20"/>
      <w:szCs w:val="20"/>
    </w:rPr>
  </w:style>
  <w:style w:type="character" w:customStyle="1" w:styleId="af6">
    <w:name w:val="Текст концевой сноски Знак"/>
    <w:link w:val="af5"/>
    <w:uiPriority w:val="99"/>
    <w:semiHidden/>
    <w:rsid w:val="00AB121C"/>
    <w:rPr>
      <w:lang w:val="en" w:eastAsia="en-US"/>
    </w:rPr>
  </w:style>
  <w:style w:type="character" w:styleId="af7">
    <w:name w:val="endnote reference"/>
    <w:uiPriority w:val="99"/>
    <w:semiHidden/>
    <w:unhideWhenUsed/>
    <w:rsid w:val="00AB121C"/>
    <w:rPr>
      <w:vertAlign w:val="superscript"/>
    </w:rPr>
  </w:style>
  <w:style w:type="paragraph" w:styleId="af8">
    <w:name w:val="footnote text"/>
    <w:basedOn w:val="a"/>
    <w:link w:val="af9"/>
    <w:uiPriority w:val="99"/>
    <w:semiHidden/>
    <w:unhideWhenUsed/>
    <w:rsid w:val="00AB121C"/>
    <w:rPr>
      <w:sz w:val="20"/>
      <w:szCs w:val="20"/>
    </w:rPr>
  </w:style>
  <w:style w:type="character" w:customStyle="1" w:styleId="af9">
    <w:name w:val="Текст сноски Знак"/>
    <w:link w:val="af8"/>
    <w:uiPriority w:val="99"/>
    <w:semiHidden/>
    <w:rsid w:val="00AB121C"/>
    <w:rPr>
      <w:lang w:val="en" w:eastAsia="en-US"/>
    </w:rPr>
  </w:style>
  <w:style w:type="character" w:styleId="afa">
    <w:name w:val="footnote reference"/>
    <w:uiPriority w:val="99"/>
    <w:semiHidden/>
    <w:unhideWhenUsed/>
    <w:rsid w:val="00AB121C"/>
    <w:rPr>
      <w:vertAlign w:val="superscript"/>
    </w:rPr>
  </w:style>
  <w:style w:type="paragraph" w:styleId="afb">
    <w:name w:val="Revision"/>
    <w:hidden/>
    <w:uiPriority w:val="99"/>
    <w:semiHidden/>
    <w:rsid w:val="005440F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427">
      <w:marLeft w:val="0"/>
      <w:marRight w:val="0"/>
      <w:marTop w:val="0"/>
      <w:marBottom w:val="0"/>
      <w:divBdr>
        <w:top w:val="none" w:sz="0" w:space="0" w:color="auto"/>
        <w:left w:val="none" w:sz="0" w:space="0" w:color="auto"/>
        <w:bottom w:val="none" w:sz="0" w:space="0" w:color="auto"/>
        <w:right w:val="none" w:sz="0" w:space="0" w:color="auto"/>
      </w:divBdr>
    </w:div>
    <w:div w:id="19665428">
      <w:marLeft w:val="0"/>
      <w:marRight w:val="0"/>
      <w:marTop w:val="0"/>
      <w:marBottom w:val="0"/>
      <w:divBdr>
        <w:top w:val="none" w:sz="0" w:space="0" w:color="auto"/>
        <w:left w:val="none" w:sz="0" w:space="0" w:color="auto"/>
        <w:bottom w:val="none" w:sz="0" w:space="0" w:color="auto"/>
        <w:right w:val="none" w:sz="0" w:space="0" w:color="auto"/>
      </w:divBdr>
    </w:div>
    <w:div w:id="300381395">
      <w:bodyDiv w:val="1"/>
      <w:marLeft w:val="0"/>
      <w:marRight w:val="0"/>
      <w:marTop w:val="0"/>
      <w:marBottom w:val="0"/>
      <w:divBdr>
        <w:top w:val="none" w:sz="0" w:space="0" w:color="auto"/>
        <w:left w:val="none" w:sz="0" w:space="0" w:color="auto"/>
        <w:bottom w:val="none" w:sz="0" w:space="0" w:color="auto"/>
        <w:right w:val="none" w:sz="0" w:space="0" w:color="auto"/>
      </w:divBdr>
      <w:divsChild>
        <w:div w:id="1152991386">
          <w:marLeft w:val="0"/>
          <w:marRight w:val="0"/>
          <w:marTop w:val="0"/>
          <w:marBottom w:val="0"/>
          <w:divBdr>
            <w:top w:val="none" w:sz="0" w:space="0" w:color="auto"/>
            <w:left w:val="none" w:sz="0" w:space="0" w:color="auto"/>
            <w:bottom w:val="none" w:sz="0" w:space="0" w:color="auto"/>
            <w:right w:val="none" w:sz="0" w:space="0" w:color="auto"/>
          </w:divBdr>
        </w:div>
        <w:div w:id="2072539468">
          <w:marLeft w:val="0"/>
          <w:marRight w:val="0"/>
          <w:marTop w:val="0"/>
          <w:marBottom w:val="0"/>
          <w:divBdr>
            <w:top w:val="none" w:sz="0" w:space="0" w:color="auto"/>
            <w:left w:val="none" w:sz="0" w:space="0" w:color="auto"/>
            <w:bottom w:val="none" w:sz="0" w:space="0" w:color="auto"/>
            <w:right w:val="none" w:sz="0" w:space="0" w:color="auto"/>
          </w:divBdr>
        </w:div>
        <w:div w:id="2138333944">
          <w:marLeft w:val="0"/>
          <w:marRight w:val="0"/>
          <w:marTop w:val="0"/>
          <w:marBottom w:val="0"/>
          <w:divBdr>
            <w:top w:val="none" w:sz="0" w:space="0" w:color="auto"/>
            <w:left w:val="none" w:sz="0" w:space="0" w:color="auto"/>
            <w:bottom w:val="none" w:sz="0" w:space="0" w:color="auto"/>
            <w:right w:val="none" w:sz="0" w:space="0" w:color="auto"/>
          </w:divBdr>
        </w:div>
      </w:divsChild>
    </w:div>
    <w:div w:id="333607649">
      <w:bodyDiv w:val="1"/>
      <w:marLeft w:val="0"/>
      <w:marRight w:val="0"/>
      <w:marTop w:val="0"/>
      <w:marBottom w:val="0"/>
      <w:divBdr>
        <w:top w:val="none" w:sz="0" w:space="0" w:color="auto"/>
        <w:left w:val="none" w:sz="0" w:space="0" w:color="auto"/>
        <w:bottom w:val="none" w:sz="0" w:space="0" w:color="auto"/>
        <w:right w:val="none" w:sz="0" w:space="0" w:color="auto"/>
      </w:divBdr>
      <w:divsChild>
        <w:div w:id="7023015">
          <w:marLeft w:val="0"/>
          <w:marRight w:val="0"/>
          <w:marTop w:val="0"/>
          <w:marBottom w:val="0"/>
          <w:divBdr>
            <w:top w:val="none" w:sz="0" w:space="0" w:color="auto"/>
            <w:left w:val="none" w:sz="0" w:space="0" w:color="auto"/>
            <w:bottom w:val="none" w:sz="0" w:space="0" w:color="auto"/>
            <w:right w:val="none" w:sz="0" w:space="0" w:color="auto"/>
          </w:divBdr>
        </w:div>
        <w:div w:id="10958274">
          <w:marLeft w:val="0"/>
          <w:marRight w:val="0"/>
          <w:marTop w:val="0"/>
          <w:marBottom w:val="0"/>
          <w:divBdr>
            <w:top w:val="none" w:sz="0" w:space="0" w:color="auto"/>
            <w:left w:val="none" w:sz="0" w:space="0" w:color="auto"/>
            <w:bottom w:val="none" w:sz="0" w:space="0" w:color="auto"/>
            <w:right w:val="none" w:sz="0" w:space="0" w:color="auto"/>
          </w:divBdr>
        </w:div>
        <w:div w:id="32654868">
          <w:marLeft w:val="0"/>
          <w:marRight w:val="0"/>
          <w:marTop w:val="0"/>
          <w:marBottom w:val="0"/>
          <w:divBdr>
            <w:top w:val="none" w:sz="0" w:space="0" w:color="auto"/>
            <w:left w:val="none" w:sz="0" w:space="0" w:color="auto"/>
            <w:bottom w:val="none" w:sz="0" w:space="0" w:color="auto"/>
            <w:right w:val="none" w:sz="0" w:space="0" w:color="auto"/>
          </w:divBdr>
        </w:div>
        <w:div w:id="77866088">
          <w:marLeft w:val="0"/>
          <w:marRight w:val="0"/>
          <w:marTop w:val="0"/>
          <w:marBottom w:val="0"/>
          <w:divBdr>
            <w:top w:val="none" w:sz="0" w:space="0" w:color="auto"/>
            <w:left w:val="none" w:sz="0" w:space="0" w:color="auto"/>
            <w:bottom w:val="none" w:sz="0" w:space="0" w:color="auto"/>
            <w:right w:val="none" w:sz="0" w:space="0" w:color="auto"/>
          </w:divBdr>
        </w:div>
        <w:div w:id="157549700">
          <w:marLeft w:val="0"/>
          <w:marRight w:val="0"/>
          <w:marTop w:val="0"/>
          <w:marBottom w:val="0"/>
          <w:divBdr>
            <w:top w:val="none" w:sz="0" w:space="0" w:color="auto"/>
            <w:left w:val="none" w:sz="0" w:space="0" w:color="auto"/>
            <w:bottom w:val="none" w:sz="0" w:space="0" w:color="auto"/>
            <w:right w:val="none" w:sz="0" w:space="0" w:color="auto"/>
          </w:divBdr>
        </w:div>
        <w:div w:id="180170809">
          <w:marLeft w:val="0"/>
          <w:marRight w:val="0"/>
          <w:marTop w:val="0"/>
          <w:marBottom w:val="0"/>
          <w:divBdr>
            <w:top w:val="none" w:sz="0" w:space="0" w:color="auto"/>
            <w:left w:val="none" w:sz="0" w:space="0" w:color="auto"/>
            <w:bottom w:val="none" w:sz="0" w:space="0" w:color="auto"/>
            <w:right w:val="none" w:sz="0" w:space="0" w:color="auto"/>
          </w:divBdr>
        </w:div>
        <w:div w:id="225534103">
          <w:marLeft w:val="0"/>
          <w:marRight w:val="0"/>
          <w:marTop w:val="0"/>
          <w:marBottom w:val="0"/>
          <w:divBdr>
            <w:top w:val="none" w:sz="0" w:space="0" w:color="auto"/>
            <w:left w:val="none" w:sz="0" w:space="0" w:color="auto"/>
            <w:bottom w:val="none" w:sz="0" w:space="0" w:color="auto"/>
            <w:right w:val="none" w:sz="0" w:space="0" w:color="auto"/>
          </w:divBdr>
        </w:div>
        <w:div w:id="258832733">
          <w:marLeft w:val="0"/>
          <w:marRight w:val="0"/>
          <w:marTop w:val="0"/>
          <w:marBottom w:val="0"/>
          <w:divBdr>
            <w:top w:val="none" w:sz="0" w:space="0" w:color="auto"/>
            <w:left w:val="none" w:sz="0" w:space="0" w:color="auto"/>
            <w:bottom w:val="none" w:sz="0" w:space="0" w:color="auto"/>
            <w:right w:val="none" w:sz="0" w:space="0" w:color="auto"/>
          </w:divBdr>
        </w:div>
        <w:div w:id="263879337">
          <w:marLeft w:val="0"/>
          <w:marRight w:val="0"/>
          <w:marTop w:val="0"/>
          <w:marBottom w:val="0"/>
          <w:divBdr>
            <w:top w:val="none" w:sz="0" w:space="0" w:color="auto"/>
            <w:left w:val="none" w:sz="0" w:space="0" w:color="auto"/>
            <w:bottom w:val="none" w:sz="0" w:space="0" w:color="auto"/>
            <w:right w:val="none" w:sz="0" w:space="0" w:color="auto"/>
          </w:divBdr>
        </w:div>
        <w:div w:id="315500259">
          <w:marLeft w:val="0"/>
          <w:marRight w:val="0"/>
          <w:marTop w:val="0"/>
          <w:marBottom w:val="0"/>
          <w:divBdr>
            <w:top w:val="none" w:sz="0" w:space="0" w:color="auto"/>
            <w:left w:val="none" w:sz="0" w:space="0" w:color="auto"/>
            <w:bottom w:val="none" w:sz="0" w:space="0" w:color="auto"/>
            <w:right w:val="none" w:sz="0" w:space="0" w:color="auto"/>
          </w:divBdr>
        </w:div>
        <w:div w:id="331102268">
          <w:marLeft w:val="0"/>
          <w:marRight w:val="0"/>
          <w:marTop w:val="0"/>
          <w:marBottom w:val="0"/>
          <w:divBdr>
            <w:top w:val="none" w:sz="0" w:space="0" w:color="auto"/>
            <w:left w:val="none" w:sz="0" w:space="0" w:color="auto"/>
            <w:bottom w:val="none" w:sz="0" w:space="0" w:color="auto"/>
            <w:right w:val="none" w:sz="0" w:space="0" w:color="auto"/>
          </w:divBdr>
        </w:div>
        <w:div w:id="331375933">
          <w:marLeft w:val="0"/>
          <w:marRight w:val="0"/>
          <w:marTop w:val="0"/>
          <w:marBottom w:val="0"/>
          <w:divBdr>
            <w:top w:val="none" w:sz="0" w:space="0" w:color="auto"/>
            <w:left w:val="none" w:sz="0" w:space="0" w:color="auto"/>
            <w:bottom w:val="none" w:sz="0" w:space="0" w:color="auto"/>
            <w:right w:val="none" w:sz="0" w:space="0" w:color="auto"/>
          </w:divBdr>
        </w:div>
        <w:div w:id="393436728">
          <w:marLeft w:val="0"/>
          <w:marRight w:val="0"/>
          <w:marTop w:val="0"/>
          <w:marBottom w:val="0"/>
          <w:divBdr>
            <w:top w:val="none" w:sz="0" w:space="0" w:color="auto"/>
            <w:left w:val="none" w:sz="0" w:space="0" w:color="auto"/>
            <w:bottom w:val="none" w:sz="0" w:space="0" w:color="auto"/>
            <w:right w:val="none" w:sz="0" w:space="0" w:color="auto"/>
          </w:divBdr>
        </w:div>
        <w:div w:id="562449063">
          <w:marLeft w:val="0"/>
          <w:marRight w:val="0"/>
          <w:marTop w:val="0"/>
          <w:marBottom w:val="0"/>
          <w:divBdr>
            <w:top w:val="none" w:sz="0" w:space="0" w:color="auto"/>
            <w:left w:val="none" w:sz="0" w:space="0" w:color="auto"/>
            <w:bottom w:val="none" w:sz="0" w:space="0" w:color="auto"/>
            <w:right w:val="none" w:sz="0" w:space="0" w:color="auto"/>
          </w:divBdr>
        </w:div>
        <w:div w:id="612058866">
          <w:marLeft w:val="0"/>
          <w:marRight w:val="0"/>
          <w:marTop w:val="0"/>
          <w:marBottom w:val="0"/>
          <w:divBdr>
            <w:top w:val="none" w:sz="0" w:space="0" w:color="auto"/>
            <w:left w:val="none" w:sz="0" w:space="0" w:color="auto"/>
            <w:bottom w:val="none" w:sz="0" w:space="0" w:color="auto"/>
            <w:right w:val="none" w:sz="0" w:space="0" w:color="auto"/>
          </w:divBdr>
        </w:div>
        <w:div w:id="612321542">
          <w:marLeft w:val="0"/>
          <w:marRight w:val="0"/>
          <w:marTop w:val="0"/>
          <w:marBottom w:val="0"/>
          <w:divBdr>
            <w:top w:val="none" w:sz="0" w:space="0" w:color="auto"/>
            <w:left w:val="none" w:sz="0" w:space="0" w:color="auto"/>
            <w:bottom w:val="none" w:sz="0" w:space="0" w:color="auto"/>
            <w:right w:val="none" w:sz="0" w:space="0" w:color="auto"/>
          </w:divBdr>
        </w:div>
        <w:div w:id="615674131">
          <w:marLeft w:val="0"/>
          <w:marRight w:val="0"/>
          <w:marTop w:val="0"/>
          <w:marBottom w:val="0"/>
          <w:divBdr>
            <w:top w:val="none" w:sz="0" w:space="0" w:color="auto"/>
            <w:left w:val="none" w:sz="0" w:space="0" w:color="auto"/>
            <w:bottom w:val="none" w:sz="0" w:space="0" w:color="auto"/>
            <w:right w:val="none" w:sz="0" w:space="0" w:color="auto"/>
          </w:divBdr>
        </w:div>
        <w:div w:id="674309589">
          <w:marLeft w:val="0"/>
          <w:marRight w:val="0"/>
          <w:marTop w:val="0"/>
          <w:marBottom w:val="0"/>
          <w:divBdr>
            <w:top w:val="none" w:sz="0" w:space="0" w:color="auto"/>
            <w:left w:val="none" w:sz="0" w:space="0" w:color="auto"/>
            <w:bottom w:val="none" w:sz="0" w:space="0" w:color="auto"/>
            <w:right w:val="none" w:sz="0" w:space="0" w:color="auto"/>
          </w:divBdr>
        </w:div>
        <w:div w:id="678965463">
          <w:marLeft w:val="0"/>
          <w:marRight w:val="0"/>
          <w:marTop w:val="0"/>
          <w:marBottom w:val="0"/>
          <w:divBdr>
            <w:top w:val="none" w:sz="0" w:space="0" w:color="auto"/>
            <w:left w:val="none" w:sz="0" w:space="0" w:color="auto"/>
            <w:bottom w:val="none" w:sz="0" w:space="0" w:color="auto"/>
            <w:right w:val="none" w:sz="0" w:space="0" w:color="auto"/>
          </w:divBdr>
        </w:div>
        <w:div w:id="683823909">
          <w:marLeft w:val="0"/>
          <w:marRight w:val="0"/>
          <w:marTop w:val="0"/>
          <w:marBottom w:val="0"/>
          <w:divBdr>
            <w:top w:val="none" w:sz="0" w:space="0" w:color="auto"/>
            <w:left w:val="none" w:sz="0" w:space="0" w:color="auto"/>
            <w:bottom w:val="none" w:sz="0" w:space="0" w:color="auto"/>
            <w:right w:val="none" w:sz="0" w:space="0" w:color="auto"/>
          </w:divBdr>
        </w:div>
        <w:div w:id="709036698">
          <w:marLeft w:val="0"/>
          <w:marRight w:val="0"/>
          <w:marTop w:val="0"/>
          <w:marBottom w:val="0"/>
          <w:divBdr>
            <w:top w:val="none" w:sz="0" w:space="0" w:color="auto"/>
            <w:left w:val="none" w:sz="0" w:space="0" w:color="auto"/>
            <w:bottom w:val="none" w:sz="0" w:space="0" w:color="auto"/>
            <w:right w:val="none" w:sz="0" w:space="0" w:color="auto"/>
          </w:divBdr>
        </w:div>
        <w:div w:id="730887387">
          <w:marLeft w:val="0"/>
          <w:marRight w:val="0"/>
          <w:marTop w:val="0"/>
          <w:marBottom w:val="0"/>
          <w:divBdr>
            <w:top w:val="none" w:sz="0" w:space="0" w:color="auto"/>
            <w:left w:val="none" w:sz="0" w:space="0" w:color="auto"/>
            <w:bottom w:val="none" w:sz="0" w:space="0" w:color="auto"/>
            <w:right w:val="none" w:sz="0" w:space="0" w:color="auto"/>
          </w:divBdr>
        </w:div>
        <w:div w:id="784348800">
          <w:marLeft w:val="0"/>
          <w:marRight w:val="0"/>
          <w:marTop w:val="0"/>
          <w:marBottom w:val="0"/>
          <w:divBdr>
            <w:top w:val="none" w:sz="0" w:space="0" w:color="auto"/>
            <w:left w:val="none" w:sz="0" w:space="0" w:color="auto"/>
            <w:bottom w:val="none" w:sz="0" w:space="0" w:color="auto"/>
            <w:right w:val="none" w:sz="0" w:space="0" w:color="auto"/>
          </w:divBdr>
        </w:div>
        <w:div w:id="809058367">
          <w:marLeft w:val="0"/>
          <w:marRight w:val="0"/>
          <w:marTop w:val="0"/>
          <w:marBottom w:val="0"/>
          <w:divBdr>
            <w:top w:val="none" w:sz="0" w:space="0" w:color="auto"/>
            <w:left w:val="none" w:sz="0" w:space="0" w:color="auto"/>
            <w:bottom w:val="none" w:sz="0" w:space="0" w:color="auto"/>
            <w:right w:val="none" w:sz="0" w:space="0" w:color="auto"/>
          </w:divBdr>
        </w:div>
        <w:div w:id="847137372">
          <w:marLeft w:val="0"/>
          <w:marRight w:val="0"/>
          <w:marTop w:val="0"/>
          <w:marBottom w:val="0"/>
          <w:divBdr>
            <w:top w:val="none" w:sz="0" w:space="0" w:color="auto"/>
            <w:left w:val="none" w:sz="0" w:space="0" w:color="auto"/>
            <w:bottom w:val="none" w:sz="0" w:space="0" w:color="auto"/>
            <w:right w:val="none" w:sz="0" w:space="0" w:color="auto"/>
          </w:divBdr>
        </w:div>
        <w:div w:id="853499081">
          <w:marLeft w:val="0"/>
          <w:marRight w:val="0"/>
          <w:marTop w:val="0"/>
          <w:marBottom w:val="0"/>
          <w:divBdr>
            <w:top w:val="none" w:sz="0" w:space="0" w:color="auto"/>
            <w:left w:val="none" w:sz="0" w:space="0" w:color="auto"/>
            <w:bottom w:val="none" w:sz="0" w:space="0" w:color="auto"/>
            <w:right w:val="none" w:sz="0" w:space="0" w:color="auto"/>
          </w:divBdr>
        </w:div>
        <w:div w:id="929191778">
          <w:marLeft w:val="0"/>
          <w:marRight w:val="0"/>
          <w:marTop w:val="0"/>
          <w:marBottom w:val="0"/>
          <w:divBdr>
            <w:top w:val="none" w:sz="0" w:space="0" w:color="auto"/>
            <w:left w:val="none" w:sz="0" w:space="0" w:color="auto"/>
            <w:bottom w:val="none" w:sz="0" w:space="0" w:color="auto"/>
            <w:right w:val="none" w:sz="0" w:space="0" w:color="auto"/>
          </w:divBdr>
        </w:div>
        <w:div w:id="935946209">
          <w:marLeft w:val="0"/>
          <w:marRight w:val="0"/>
          <w:marTop w:val="0"/>
          <w:marBottom w:val="0"/>
          <w:divBdr>
            <w:top w:val="none" w:sz="0" w:space="0" w:color="auto"/>
            <w:left w:val="none" w:sz="0" w:space="0" w:color="auto"/>
            <w:bottom w:val="none" w:sz="0" w:space="0" w:color="auto"/>
            <w:right w:val="none" w:sz="0" w:space="0" w:color="auto"/>
          </w:divBdr>
        </w:div>
        <w:div w:id="975719893">
          <w:marLeft w:val="0"/>
          <w:marRight w:val="0"/>
          <w:marTop w:val="0"/>
          <w:marBottom w:val="0"/>
          <w:divBdr>
            <w:top w:val="none" w:sz="0" w:space="0" w:color="auto"/>
            <w:left w:val="none" w:sz="0" w:space="0" w:color="auto"/>
            <w:bottom w:val="none" w:sz="0" w:space="0" w:color="auto"/>
            <w:right w:val="none" w:sz="0" w:space="0" w:color="auto"/>
          </w:divBdr>
        </w:div>
        <w:div w:id="1076588688">
          <w:marLeft w:val="0"/>
          <w:marRight w:val="0"/>
          <w:marTop w:val="0"/>
          <w:marBottom w:val="0"/>
          <w:divBdr>
            <w:top w:val="none" w:sz="0" w:space="0" w:color="auto"/>
            <w:left w:val="none" w:sz="0" w:space="0" w:color="auto"/>
            <w:bottom w:val="none" w:sz="0" w:space="0" w:color="auto"/>
            <w:right w:val="none" w:sz="0" w:space="0" w:color="auto"/>
          </w:divBdr>
        </w:div>
        <w:div w:id="1104768877">
          <w:marLeft w:val="0"/>
          <w:marRight w:val="0"/>
          <w:marTop w:val="0"/>
          <w:marBottom w:val="0"/>
          <w:divBdr>
            <w:top w:val="none" w:sz="0" w:space="0" w:color="auto"/>
            <w:left w:val="none" w:sz="0" w:space="0" w:color="auto"/>
            <w:bottom w:val="none" w:sz="0" w:space="0" w:color="auto"/>
            <w:right w:val="none" w:sz="0" w:space="0" w:color="auto"/>
          </w:divBdr>
        </w:div>
        <w:div w:id="1110199311">
          <w:marLeft w:val="0"/>
          <w:marRight w:val="0"/>
          <w:marTop w:val="0"/>
          <w:marBottom w:val="0"/>
          <w:divBdr>
            <w:top w:val="none" w:sz="0" w:space="0" w:color="auto"/>
            <w:left w:val="none" w:sz="0" w:space="0" w:color="auto"/>
            <w:bottom w:val="none" w:sz="0" w:space="0" w:color="auto"/>
            <w:right w:val="none" w:sz="0" w:space="0" w:color="auto"/>
          </w:divBdr>
        </w:div>
        <w:div w:id="1150832905">
          <w:marLeft w:val="0"/>
          <w:marRight w:val="0"/>
          <w:marTop w:val="0"/>
          <w:marBottom w:val="0"/>
          <w:divBdr>
            <w:top w:val="none" w:sz="0" w:space="0" w:color="auto"/>
            <w:left w:val="none" w:sz="0" w:space="0" w:color="auto"/>
            <w:bottom w:val="none" w:sz="0" w:space="0" w:color="auto"/>
            <w:right w:val="none" w:sz="0" w:space="0" w:color="auto"/>
          </w:divBdr>
        </w:div>
        <w:div w:id="1172722665">
          <w:marLeft w:val="0"/>
          <w:marRight w:val="0"/>
          <w:marTop w:val="0"/>
          <w:marBottom w:val="0"/>
          <w:divBdr>
            <w:top w:val="none" w:sz="0" w:space="0" w:color="auto"/>
            <w:left w:val="none" w:sz="0" w:space="0" w:color="auto"/>
            <w:bottom w:val="none" w:sz="0" w:space="0" w:color="auto"/>
            <w:right w:val="none" w:sz="0" w:space="0" w:color="auto"/>
          </w:divBdr>
        </w:div>
        <w:div w:id="1228106790">
          <w:marLeft w:val="0"/>
          <w:marRight w:val="0"/>
          <w:marTop w:val="0"/>
          <w:marBottom w:val="0"/>
          <w:divBdr>
            <w:top w:val="none" w:sz="0" w:space="0" w:color="auto"/>
            <w:left w:val="none" w:sz="0" w:space="0" w:color="auto"/>
            <w:bottom w:val="none" w:sz="0" w:space="0" w:color="auto"/>
            <w:right w:val="none" w:sz="0" w:space="0" w:color="auto"/>
          </w:divBdr>
        </w:div>
        <w:div w:id="1390377512">
          <w:marLeft w:val="0"/>
          <w:marRight w:val="0"/>
          <w:marTop w:val="0"/>
          <w:marBottom w:val="0"/>
          <w:divBdr>
            <w:top w:val="none" w:sz="0" w:space="0" w:color="auto"/>
            <w:left w:val="none" w:sz="0" w:space="0" w:color="auto"/>
            <w:bottom w:val="none" w:sz="0" w:space="0" w:color="auto"/>
            <w:right w:val="none" w:sz="0" w:space="0" w:color="auto"/>
          </w:divBdr>
        </w:div>
        <w:div w:id="1391265941">
          <w:marLeft w:val="0"/>
          <w:marRight w:val="0"/>
          <w:marTop w:val="0"/>
          <w:marBottom w:val="0"/>
          <w:divBdr>
            <w:top w:val="none" w:sz="0" w:space="0" w:color="auto"/>
            <w:left w:val="none" w:sz="0" w:space="0" w:color="auto"/>
            <w:bottom w:val="none" w:sz="0" w:space="0" w:color="auto"/>
            <w:right w:val="none" w:sz="0" w:space="0" w:color="auto"/>
          </w:divBdr>
        </w:div>
        <w:div w:id="1416512622">
          <w:marLeft w:val="0"/>
          <w:marRight w:val="0"/>
          <w:marTop w:val="0"/>
          <w:marBottom w:val="0"/>
          <w:divBdr>
            <w:top w:val="none" w:sz="0" w:space="0" w:color="auto"/>
            <w:left w:val="none" w:sz="0" w:space="0" w:color="auto"/>
            <w:bottom w:val="none" w:sz="0" w:space="0" w:color="auto"/>
            <w:right w:val="none" w:sz="0" w:space="0" w:color="auto"/>
          </w:divBdr>
        </w:div>
        <w:div w:id="1426070142">
          <w:marLeft w:val="0"/>
          <w:marRight w:val="0"/>
          <w:marTop w:val="0"/>
          <w:marBottom w:val="0"/>
          <w:divBdr>
            <w:top w:val="none" w:sz="0" w:space="0" w:color="auto"/>
            <w:left w:val="none" w:sz="0" w:space="0" w:color="auto"/>
            <w:bottom w:val="none" w:sz="0" w:space="0" w:color="auto"/>
            <w:right w:val="none" w:sz="0" w:space="0" w:color="auto"/>
          </w:divBdr>
        </w:div>
        <w:div w:id="1436559249">
          <w:marLeft w:val="0"/>
          <w:marRight w:val="0"/>
          <w:marTop w:val="0"/>
          <w:marBottom w:val="0"/>
          <w:divBdr>
            <w:top w:val="none" w:sz="0" w:space="0" w:color="auto"/>
            <w:left w:val="none" w:sz="0" w:space="0" w:color="auto"/>
            <w:bottom w:val="none" w:sz="0" w:space="0" w:color="auto"/>
            <w:right w:val="none" w:sz="0" w:space="0" w:color="auto"/>
          </w:divBdr>
        </w:div>
        <w:div w:id="1465541955">
          <w:marLeft w:val="0"/>
          <w:marRight w:val="0"/>
          <w:marTop w:val="0"/>
          <w:marBottom w:val="0"/>
          <w:divBdr>
            <w:top w:val="none" w:sz="0" w:space="0" w:color="auto"/>
            <w:left w:val="none" w:sz="0" w:space="0" w:color="auto"/>
            <w:bottom w:val="none" w:sz="0" w:space="0" w:color="auto"/>
            <w:right w:val="none" w:sz="0" w:space="0" w:color="auto"/>
          </w:divBdr>
        </w:div>
        <w:div w:id="1497376806">
          <w:marLeft w:val="0"/>
          <w:marRight w:val="0"/>
          <w:marTop w:val="0"/>
          <w:marBottom w:val="0"/>
          <w:divBdr>
            <w:top w:val="none" w:sz="0" w:space="0" w:color="auto"/>
            <w:left w:val="none" w:sz="0" w:space="0" w:color="auto"/>
            <w:bottom w:val="none" w:sz="0" w:space="0" w:color="auto"/>
            <w:right w:val="none" w:sz="0" w:space="0" w:color="auto"/>
          </w:divBdr>
        </w:div>
        <w:div w:id="1538423478">
          <w:marLeft w:val="0"/>
          <w:marRight w:val="0"/>
          <w:marTop w:val="0"/>
          <w:marBottom w:val="0"/>
          <w:divBdr>
            <w:top w:val="none" w:sz="0" w:space="0" w:color="auto"/>
            <w:left w:val="none" w:sz="0" w:space="0" w:color="auto"/>
            <w:bottom w:val="none" w:sz="0" w:space="0" w:color="auto"/>
            <w:right w:val="none" w:sz="0" w:space="0" w:color="auto"/>
          </w:divBdr>
        </w:div>
        <w:div w:id="1556814545">
          <w:marLeft w:val="0"/>
          <w:marRight w:val="0"/>
          <w:marTop w:val="0"/>
          <w:marBottom w:val="0"/>
          <w:divBdr>
            <w:top w:val="none" w:sz="0" w:space="0" w:color="auto"/>
            <w:left w:val="none" w:sz="0" w:space="0" w:color="auto"/>
            <w:bottom w:val="none" w:sz="0" w:space="0" w:color="auto"/>
            <w:right w:val="none" w:sz="0" w:space="0" w:color="auto"/>
          </w:divBdr>
        </w:div>
        <w:div w:id="1617712345">
          <w:marLeft w:val="0"/>
          <w:marRight w:val="0"/>
          <w:marTop w:val="0"/>
          <w:marBottom w:val="0"/>
          <w:divBdr>
            <w:top w:val="none" w:sz="0" w:space="0" w:color="auto"/>
            <w:left w:val="none" w:sz="0" w:space="0" w:color="auto"/>
            <w:bottom w:val="none" w:sz="0" w:space="0" w:color="auto"/>
            <w:right w:val="none" w:sz="0" w:space="0" w:color="auto"/>
          </w:divBdr>
        </w:div>
        <w:div w:id="1618754485">
          <w:marLeft w:val="0"/>
          <w:marRight w:val="0"/>
          <w:marTop w:val="0"/>
          <w:marBottom w:val="0"/>
          <w:divBdr>
            <w:top w:val="none" w:sz="0" w:space="0" w:color="auto"/>
            <w:left w:val="none" w:sz="0" w:space="0" w:color="auto"/>
            <w:bottom w:val="none" w:sz="0" w:space="0" w:color="auto"/>
            <w:right w:val="none" w:sz="0" w:space="0" w:color="auto"/>
          </w:divBdr>
        </w:div>
        <w:div w:id="1640841119">
          <w:marLeft w:val="0"/>
          <w:marRight w:val="0"/>
          <w:marTop w:val="0"/>
          <w:marBottom w:val="0"/>
          <w:divBdr>
            <w:top w:val="none" w:sz="0" w:space="0" w:color="auto"/>
            <w:left w:val="none" w:sz="0" w:space="0" w:color="auto"/>
            <w:bottom w:val="none" w:sz="0" w:space="0" w:color="auto"/>
            <w:right w:val="none" w:sz="0" w:space="0" w:color="auto"/>
          </w:divBdr>
        </w:div>
        <w:div w:id="1669333620">
          <w:marLeft w:val="0"/>
          <w:marRight w:val="0"/>
          <w:marTop w:val="0"/>
          <w:marBottom w:val="0"/>
          <w:divBdr>
            <w:top w:val="none" w:sz="0" w:space="0" w:color="auto"/>
            <w:left w:val="none" w:sz="0" w:space="0" w:color="auto"/>
            <w:bottom w:val="none" w:sz="0" w:space="0" w:color="auto"/>
            <w:right w:val="none" w:sz="0" w:space="0" w:color="auto"/>
          </w:divBdr>
        </w:div>
        <w:div w:id="1695417782">
          <w:marLeft w:val="0"/>
          <w:marRight w:val="0"/>
          <w:marTop w:val="0"/>
          <w:marBottom w:val="0"/>
          <w:divBdr>
            <w:top w:val="none" w:sz="0" w:space="0" w:color="auto"/>
            <w:left w:val="none" w:sz="0" w:space="0" w:color="auto"/>
            <w:bottom w:val="none" w:sz="0" w:space="0" w:color="auto"/>
            <w:right w:val="none" w:sz="0" w:space="0" w:color="auto"/>
          </w:divBdr>
        </w:div>
        <w:div w:id="1698702937">
          <w:marLeft w:val="0"/>
          <w:marRight w:val="0"/>
          <w:marTop w:val="0"/>
          <w:marBottom w:val="0"/>
          <w:divBdr>
            <w:top w:val="none" w:sz="0" w:space="0" w:color="auto"/>
            <w:left w:val="none" w:sz="0" w:space="0" w:color="auto"/>
            <w:bottom w:val="none" w:sz="0" w:space="0" w:color="auto"/>
            <w:right w:val="none" w:sz="0" w:space="0" w:color="auto"/>
          </w:divBdr>
        </w:div>
        <w:div w:id="1753816904">
          <w:marLeft w:val="0"/>
          <w:marRight w:val="0"/>
          <w:marTop w:val="0"/>
          <w:marBottom w:val="0"/>
          <w:divBdr>
            <w:top w:val="none" w:sz="0" w:space="0" w:color="auto"/>
            <w:left w:val="none" w:sz="0" w:space="0" w:color="auto"/>
            <w:bottom w:val="none" w:sz="0" w:space="0" w:color="auto"/>
            <w:right w:val="none" w:sz="0" w:space="0" w:color="auto"/>
          </w:divBdr>
        </w:div>
        <w:div w:id="1758938878">
          <w:marLeft w:val="0"/>
          <w:marRight w:val="0"/>
          <w:marTop w:val="0"/>
          <w:marBottom w:val="0"/>
          <w:divBdr>
            <w:top w:val="none" w:sz="0" w:space="0" w:color="auto"/>
            <w:left w:val="none" w:sz="0" w:space="0" w:color="auto"/>
            <w:bottom w:val="none" w:sz="0" w:space="0" w:color="auto"/>
            <w:right w:val="none" w:sz="0" w:space="0" w:color="auto"/>
          </w:divBdr>
        </w:div>
        <w:div w:id="1799643513">
          <w:marLeft w:val="0"/>
          <w:marRight w:val="0"/>
          <w:marTop w:val="0"/>
          <w:marBottom w:val="0"/>
          <w:divBdr>
            <w:top w:val="none" w:sz="0" w:space="0" w:color="auto"/>
            <w:left w:val="none" w:sz="0" w:space="0" w:color="auto"/>
            <w:bottom w:val="none" w:sz="0" w:space="0" w:color="auto"/>
            <w:right w:val="none" w:sz="0" w:space="0" w:color="auto"/>
          </w:divBdr>
        </w:div>
        <w:div w:id="1891190603">
          <w:marLeft w:val="0"/>
          <w:marRight w:val="0"/>
          <w:marTop w:val="0"/>
          <w:marBottom w:val="0"/>
          <w:divBdr>
            <w:top w:val="none" w:sz="0" w:space="0" w:color="auto"/>
            <w:left w:val="none" w:sz="0" w:space="0" w:color="auto"/>
            <w:bottom w:val="none" w:sz="0" w:space="0" w:color="auto"/>
            <w:right w:val="none" w:sz="0" w:space="0" w:color="auto"/>
          </w:divBdr>
        </w:div>
        <w:div w:id="1947076121">
          <w:marLeft w:val="0"/>
          <w:marRight w:val="0"/>
          <w:marTop w:val="0"/>
          <w:marBottom w:val="0"/>
          <w:divBdr>
            <w:top w:val="none" w:sz="0" w:space="0" w:color="auto"/>
            <w:left w:val="none" w:sz="0" w:space="0" w:color="auto"/>
            <w:bottom w:val="none" w:sz="0" w:space="0" w:color="auto"/>
            <w:right w:val="none" w:sz="0" w:space="0" w:color="auto"/>
          </w:divBdr>
        </w:div>
        <w:div w:id="1960575035">
          <w:marLeft w:val="0"/>
          <w:marRight w:val="0"/>
          <w:marTop w:val="0"/>
          <w:marBottom w:val="0"/>
          <w:divBdr>
            <w:top w:val="none" w:sz="0" w:space="0" w:color="auto"/>
            <w:left w:val="none" w:sz="0" w:space="0" w:color="auto"/>
            <w:bottom w:val="none" w:sz="0" w:space="0" w:color="auto"/>
            <w:right w:val="none" w:sz="0" w:space="0" w:color="auto"/>
          </w:divBdr>
        </w:div>
        <w:div w:id="2021618256">
          <w:marLeft w:val="0"/>
          <w:marRight w:val="0"/>
          <w:marTop w:val="0"/>
          <w:marBottom w:val="0"/>
          <w:divBdr>
            <w:top w:val="none" w:sz="0" w:space="0" w:color="auto"/>
            <w:left w:val="none" w:sz="0" w:space="0" w:color="auto"/>
            <w:bottom w:val="none" w:sz="0" w:space="0" w:color="auto"/>
            <w:right w:val="none" w:sz="0" w:space="0" w:color="auto"/>
          </w:divBdr>
        </w:div>
        <w:div w:id="2093694354">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382561590">
      <w:bodyDiv w:val="1"/>
      <w:marLeft w:val="0"/>
      <w:marRight w:val="0"/>
      <w:marTop w:val="0"/>
      <w:marBottom w:val="0"/>
      <w:divBdr>
        <w:top w:val="none" w:sz="0" w:space="0" w:color="auto"/>
        <w:left w:val="none" w:sz="0" w:space="0" w:color="auto"/>
        <w:bottom w:val="none" w:sz="0" w:space="0" w:color="auto"/>
        <w:right w:val="none" w:sz="0" w:space="0" w:color="auto"/>
      </w:divBdr>
    </w:div>
    <w:div w:id="407188801">
      <w:bodyDiv w:val="1"/>
      <w:marLeft w:val="0"/>
      <w:marRight w:val="0"/>
      <w:marTop w:val="0"/>
      <w:marBottom w:val="0"/>
      <w:divBdr>
        <w:top w:val="none" w:sz="0" w:space="0" w:color="auto"/>
        <w:left w:val="none" w:sz="0" w:space="0" w:color="auto"/>
        <w:bottom w:val="none" w:sz="0" w:space="0" w:color="auto"/>
        <w:right w:val="none" w:sz="0" w:space="0" w:color="auto"/>
      </w:divBdr>
    </w:div>
    <w:div w:id="571433682">
      <w:bodyDiv w:val="1"/>
      <w:marLeft w:val="0"/>
      <w:marRight w:val="0"/>
      <w:marTop w:val="0"/>
      <w:marBottom w:val="0"/>
      <w:divBdr>
        <w:top w:val="none" w:sz="0" w:space="0" w:color="auto"/>
        <w:left w:val="none" w:sz="0" w:space="0" w:color="auto"/>
        <w:bottom w:val="none" w:sz="0" w:space="0" w:color="auto"/>
        <w:right w:val="none" w:sz="0" w:space="0" w:color="auto"/>
      </w:divBdr>
    </w:div>
    <w:div w:id="866023373">
      <w:bodyDiv w:val="1"/>
      <w:marLeft w:val="0"/>
      <w:marRight w:val="0"/>
      <w:marTop w:val="0"/>
      <w:marBottom w:val="0"/>
      <w:divBdr>
        <w:top w:val="none" w:sz="0" w:space="0" w:color="auto"/>
        <w:left w:val="none" w:sz="0" w:space="0" w:color="auto"/>
        <w:bottom w:val="none" w:sz="0" w:space="0" w:color="auto"/>
        <w:right w:val="none" w:sz="0" w:space="0" w:color="auto"/>
      </w:divBdr>
    </w:div>
    <w:div w:id="1080173171">
      <w:bodyDiv w:val="1"/>
      <w:marLeft w:val="0"/>
      <w:marRight w:val="0"/>
      <w:marTop w:val="0"/>
      <w:marBottom w:val="0"/>
      <w:divBdr>
        <w:top w:val="none" w:sz="0" w:space="0" w:color="auto"/>
        <w:left w:val="none" w:sz="0" w:space="0" w:color="auto"/>
        <w:bottom w:val="none" w:sz="0" w:space="0" w:color="auto"/>
        <w:right w:val="none" w:sz="0" w:space="0" w:color="auto"/>
      </w:divBdr>
      <w:divsChild>
        <w:div w:id="13700412">
          <w:marLeft w:val="0"/>
          <w:marRight w:val="0"/>
          <w:marTop w:val="0"/>
          <w:marBottom w:val="0"/>
          <w:divBdr>
            <w:top w:val="none" w:sz="0" w:space="0" w:color="auto"/>
            <w:left w:val="none" w:sz="0" w:space="0" w:color="auto"/>
            <w:bottom w:val="none" w:sz="0" w:space="0" w:color="auto"/>
            <w:right w:val="none" w:sz="0" w:space="0" w:color="auto"/>
          </w:divBdr>
        </w:div>
        <w:div w:id="34472724">
          <w:marLeft w:val="0"/>
          <w:marRight w:val="0"/>
          <w:marTop w:val="0"/>
          <w:marBottom w:val="0"/>
          <w:divBdr>
            <w:top w:val="none" w:sz="0" w:space="0" w:color="auto"/>
            <w:left w:val="none" w:sz="0" w:space="0" w:color="auto"/>
            <w:bottom w:val="none" w:sz="0" w:space="0" w:color="auto"/>
            <w:right w:val="none" w:sz="0" w:space="0" w:color="auto"/>
          </w:divBdr>
        </w:div>
        <w:div w:id="82071505">
          <w:marLeft w:val="0"/>
          <w:marRight w:val="0"/>
          <w:marTop w:val="0"/>
          <w:marBottom w:val="0"/>
          <w:divBdr>
            <w:top w:val="none" w:sz="0" w:space="0" w:color="auto"/>
            <w:left w:val="none" w:sz="0" w:space="0" w:color="auto"/>
            <w:bottom w:val="none" w:sz="0" w:space="0" w:color="auto"/>
            <w:right w:val="none" w:sz="0" w:space="0" w:color="auto"/>
          </w:divBdr>
        </w:div>
        <w:div w:id="104231326">
          <w:marLeft w:val="0"/>
          <w:marRight w:val="0"/>
          <w:marTop w:val="0"/>
          <w:marBottom w:val="0"/>
          <w:divBdr>
            <w:top w:val="none" w:sz="0" w:space="0" w:color="auto"/>
            <w:left w:val="none" w:sz="0" w:space="0" w:color="auto"/>
            <w:bottom w:val="none" w:sz="0" w:space="0" w:color="auto"/>
            <w:right w:val="none" w:sz="0" w:space="0" w:color="auto"/>
          </w:divBdr>
        </w:div>
        <w:div w:id="144130935">
          <w:marLeft w:val="0"/>
          <w:marRight w:val="0"/>
          <w:marTop w:val="0"/>
          <w:marBottom w:val="0"/>
          <w:divBdr>
            <w:top w:val="none" w:sz="0" w:space="0" w:color="auto"/>
            <w:left w:val="none" w:sz="0" w:space="0" w:color="auto"/>
            <w:bottom w:val="none" w:sz="0" w:space="0" w:color="auto"/>
            <w:right w:val="none" w:sz="0" w:space="0" w:color="auto"/>
          </w:divBdr>
        </w:div>
        <w:div w:id="159392648">
          <w:marLeft w:val="0"/>
          <w:marRight w:val="0"/>
          <w:marTop w:val="0"/>
          <w:marBottom w:val="0"/>
          <w:divBdr>
            <w:top w:val="none" w:sz="0" w:space="0" w:color="auto"/>
            <w:left w:val="none" w:sz="0" w:space="0" w:color="auto"/>
            <w:bottom w:val="none" w:sz="0" w:space="0" w:color="auto"/>
            <w:right w:val="none" w:sz="0" w:space="0" w:color="auto"/>
          </w:divBdr>
        </w:div>
        <w:div w:id="185026827">
          <w:marLeft w:val="0"/>
          <w:marRight w:val="0"/>
          <w:marTop w:val="0"/>
          <w:marBottom w:val="0"/>
          <w:divBdr>
            <w:top w:val="none" w:sz="0" w:space="0" w:color="auto"/>
            <w:left w:val="none" w:sz="0" w:space="0" w:color="auto"/>
            <w:bottom w:val="none" w:sz="0" w:space="0" w:color="auto"/>
            <w:right w:val="none" w:sz="0" w:space="0" w:color="auto"/>
          </w:divBdr>
        </w:div>
        <w:div w:id="207425524">
          <w:marLeft w:val="0"/>
          <w:marRight w:val="0"/>
          <w:marTop w:val="0"/>
          <w:marBottom w:val="0"/>
          <w:divBdr>
            <w:top w:val="none" w:sz="0" w:space="0" w:color="auto"/>
            <w:left w:val="none" w:sz="0" w:space="0" w:color="auto"/>
            <w:bottom w:val="none" w:sz="0" w:space="0" w:color="auto"/>
            <w:right w:val="none" w:sz="0" w:space="0" w:color="auto"/>
          </w:divBdr>
        </w:div>
        <w:div w:id="259262048">
          <w:marLeft w:val="0"/>
          <w:marRight w:val="0"/>
          <w:marTop w:val="0"/>
          <w:marBottom w:val="0"/>
          <w:divBdr>
            <w:top w:val="none" w:sz="0" w:space="0" w:color="auto"/>
            <w:left w:val="none" w:sz="0" w:space="0" w:color="auto"/>
            <w:bottom w:val="none" w:sz="0" w:space="0" w:color="auto"/>
            <w:right w:val="none" w:sz="0" w:space="0" w:color="auto"/>
          </w:divBdr>
        </w:div>
        <w:div w:id="283312217">
          <w:marLeft w:val="0"/>
          <w:marRight w:val="0"/>
          <w:marTop w:val="0"/>
          <w:marBottom w:val="0"/>
          <w:divBdr>
            <w:top w:val="none" w:sz="0" w:space="0" w:color="auto"/>
            <w:left w:val="none" w:sz="0" w:space="0" w:color="auto"/>
            <w:bottom w:val="none" w:sz="0" w:space="0" w:color="auto"/>
            <w:right w:val="none" w:sz="0" w:space="0" w:color="auto"/>
          </w:divBdr>
        </w:div>
        <w:div w:id="303898500">
          <w:marLeft w:val="0"/>
          <w:marRight w:val="0"/>
          <w:marTop w:val="0"/>
          <w:marBottom w:val="0"/>
          <w:divBdr>
            <w:top w:val="none" w:sz="0" w:space="0" w:color="auto"/>
            <w:left w:val="none" w:sz="0" w:space="0" w:color="auto"/>
            <w:bottom w:val="none" w:sz="0" w:space="0" w:color="auto"/>
            <w:right w:val="none" w:sz="0" w:space="0" w:color="auto"/>
          </w:divBdr>
        </w:div>
        <w:div w:id="309019917">
          <w:marLeft w:val="0"/>
          <w:marRight w:val="0"/>
          <w:marTop w:val="0"/>
          <w:marBottom w:val="0"/>
          <w:divBdr>
            <w:top w:val="none" w:sz="0" w:space="0" w:color="auto"/>
            <w:left w:val="none" w:sz="0" w:space="0" w:color="auto"/>
            <w:bottom w:val="none" w:sz="0" w:space="0" w:color="auto"/>
            <w:right w:val="none" w:sz="0" w:space="0" w:color="auto"/>
          </w:divBdr>
        </w:div>
        <w:div w:id="331303463">
          <w:marLeft w:val="0"/>
          <w:marRight w:val="0"/>
          <w:marTop w:val="0"/>
          <w:marBottom w:val="0"/>
          <w:divBdr>
            <w:top w:val="none" w:sz="0" w:space="0" w:color="auto"/>
            <w:left w:val="none" w:sz="0" w:space="0" w:color="auto"/>
            <w:bottom w:val="none" w:sz="0" w:space="0" w:color="auto"/>
            <w:right w:val="none" w:sz="0" w:space="0" w:color="auto"/>
          </w:divBdr>
        </w:div>
        <w:div w:id="539712321">
          <w:marLeft w:val="0"/>
          <w:marRight w:val="0"/>
          <w:marTop w:val="0"/>
          <w:marBottom w:val="0"/>
          <w:divBdr>
            <w:top w:val="none" w:sz="0" w:space="0" w:color="auto"/>
            <w:left w:val="none" w:sz="0" w:space="0" w:color="auto"/>
            <w:bottom w:val="none" w:sz="0" w:space="0" w:color="auto"/>
            <w:right w:val="none" w:sz="0" w:space="0" w:color="auto"/>
          </w:divBdr>
        </w:div>
        <w:div w:id="544299462">
          <w:marLeft w:val="0"/>
          <w:marRight w:val="0"/>
          <w:marTop w:val="0"/>
          <w:marBottom w:val="0"/>
          <w:divBdr>
            <w:top w:val="none" w:sz="0" w:space="0" w:color="auto"/>
            <w:left w:val="none" w:sz="0" w:space="0" w:color="auto"/>
            <w:bottom w:val="none" w:sz="0" w:space="0" w:color="auto"/>
            <w:right w:val="none" w:sz="0" w:space="0" w:color="auto"/>
          </w:divBdr>
        </w:div>
        <w:div w:id="586961382">
          <w:marLeft w:val="0"/>
          <w:marRight w:val="0"/>
          <w:marTop w:val="0"/>
          <w:marBottom w:val="0"/>
          <w:divBdr>
            <w:top w:val="none" w:sz="0" w:space="0" w:color="auto"/>
            <w:left w:val="none" w:sz="0" w:space="0" w:color="auto"/>
            <w:bottom w:val="none" w:sz="0" w:space="0" w:color="auto"/>
            <w:right w:val="none" w:sz="0" w:space="0" w:color="auto"/>
          </w:divBdr>
        </w:div>
        <w:div w:id="595134710">
          <w:marLeft w:val="0"/>
          <w:marRight w:val="0"/>
          <w:marTop w:val="0"/>
          <w:marBottom w:val="0"/>
          <w:divBdr>
            <w:top w:val="none" w:sz="0" w:space="0" w:color="auto"/>
            <w:left w:val="none" w:sz="0" w:space="0" w:color="auto"/>
            <w:bottom w:val="none" w:sz="0" w:space="0" w:color="auto"/>
            <w:right w:val="none" w:sz="0" w:space="0" w:color="auto"/>
          </w:divBdr>
        </w:div>
        <w:div w:id="596063169">
          <w:marLeft w:val="0"/>
          <w:marRight w:val="0"/>
          <w:marTop w:val="0"/>
          <w:marBottom w:val="0"/>
          <w:divBdr>
            <w:top w:val="none" w:sz="0" w:space="0" w:color="auto"/>
            <w:left w:val="none" w:sz="0" w:space="0" w:color="auto"/>
            <w:bottom w:val="none" w:sz="0" w:space="0" w:color="auto"/>
            <w:right w:val="none" w:sz="0" w:space="0" w:color="auto"/>
          </w:divBdr>
        </w:div>
        <w:div w:id="598415519">
          <w:marLeft w:val="0"/>
          <w:marRight w:val="0"/>
          <w:marTop w:val="0"/>
          <w:marBottom w:val="0"/>
          <w:divBdr>
            <w:top w:val="none" w:sz="0" w:space="0" w:color="auto"/>
            <w:left w:val="none" w:sz="0" w:space="0" w:color="auto"/>
            <w:bottom w:val="none" w:sz="0" w:space="0" w:color="auto"/>
            <w:right w:val="none" w:sz="0" w:space="0" w:color="auto"/>
          </w:divBdr>
        </w:div>
        <w:div w:id="620888882">
          <w:marLeft w:val="0"/>
          <w:marRight w:val="0"/>
          <w:marTop w:val="0"/>
          <w:marBottom w:val="0"/>
          <w:divBdr>
            <w:top w:val="none" w:sz="0" w:space="0" w:color="auto"/>
            <w:left w:val="none" w:sz="0" w:space="0" w:color="auto"/>
            <w:bottom w:val="none" w:sz="0" w:space="0" w:color="auto"/>
            <w:right w:val="none" w:sz="0" w:space="0" w:color="auto"/>
          </w:divBdr>
        </w:div>
        <w:div w:id="638993739">
          <w:marLeft w:val="0"/>
          <w:marRight w:val="0"/>
          <w:marTop w:val="0"/>
          <w:marBottom w:val="0"/>
          <w:divBdr>
            <w:top w:val="none" w:sz="0" w:space="0" w:color="auto"/>
            <w:left w:val="none" w:sz="0" w:space="0" w:color="auto"/>
            <w:bottom w:val="none" w:sz="0" w:space="0" w:color="auto"/>
            <w:right w:val="none" w:sz="0" w:space="0" w:color="auto"/>
          </w:divBdr>
        </w:div>
        <w:div w:id="726345063">
          <w:marLeft w:val="0"/>
          <w:marRight w:val="0"/>
          <w:marTop w:val="0"/>
          <w:marBottom w:val="0"/>
          <w:divBdr>
            <w:top w:val="none" w:sz="0" w:space="0" w:color="auto"/>
            <w:left w:val="none" w:sz="0" w:space="0" w:color="auto"/>
            <w:bottom w:val="none" w:sz="0" w:space="0" w:color="auto"/>
            <w:right w:val="none" w:sz="0" w:space="0" w:color="auto"/>
          </w:divBdr>
        </w:div>
        <w:div w:id="767039371">
          <w:marLeft w:val="0"/>
          <w:marRight w:val="0"/>
          <w:marTop w:val="0"/>
          <w:marBottom w:val="0"/>
          <w:divBdr>
            <w:top w:val="none" w:sz="0" w:space="0" w:color="auto"/>
            <w:left w:val="none" w:sz="0" w:space="0" w:color="auto"/>
            <w:bottom w:val="none" w:sz="0" w:space="0" w:color="auto"/>
            <w:right w:val="none" w:sz="0" w:space="0" w:color="auto"/>
          </w:divBdr>
        </w:div>
        <w:div w:id="779641164">
          <w:marLeft w:val="0"/>
          <w:marRight w:val="0"/>
          <w:marTop w:val="0"/>
          <w:marBottom w:val="0"/>
          <w:divBdr>
            <w:top w:val="none" w:sz="0" w:space="0" w:color="auto"/>
            <w:left w:val="none" w:sz="0" w:space="0" w:color="auto"/>
            <w:bottom w:val="none" w:sz="0" w:space="0" w:color="auto"/>
            <w:right w:val="none" w:sz="0" w:space="0" w:color="auto"/>
          </w:divBdr>
        </w:div>
        <w:div w:id="805194964">
          <w:marLeft w:val="0"/>
          <w:marRight w:val="0"/>
          <w:marTop w:val="0"/>
          <w:marBottom w:val="0"/>
          <w:divBdr>
            <w:top w:val="none" w:sz="0" w:space="0" w:color="auto"/>
            <w:left w:val="none" w:sz="0" w:space="0" w:color="auto"/>
            <w:bottom w:val="none" w:sz="0" w:space="0" w:color="auto"/>
            <w:right w:val="none" w:sz="0" w:space="0" w:color="auto"/>
          </w:divBdr>
        </w:div>
        <w:div w:id="906454147">
          <w:marLeft w:val="0"/>
          <w:marRight w:val="0"/>
          <w:marTop w:val="0"/>
          <w:marBottom w:val="0"/>
          <w:divBdr>
            <w:top w:val="none" w:sz="0" w:space="0" w:color="auto"/>
            <w:left w:val="none" w:sz="0" w:space="0" w:color="auto"/>
            <w:bottom w:val="none" w:sz="0" w:space="0" w:color="auto"/>
            <w:right w:val="none" w:sz="0" w:space="0" w:color="auto"/>
          </w:divBdr>
        </w:div>
        <w:div w:id="936136646">
          <w:marLeft w:val="0"/>
          <w:marRight w:val="0"/>
          <w:marTop w:val="0"/>
          <w:marBottom w:val="0"/>
          <w:divBdr>
            <w:top w:val="none" w:sz="0" w:space="0" w:color="auto"/>
            <w:left w:val="none" w:sz="0" w:space="0" w:color="auto"/>
            <w:bottom w:val="none" w:sz="0" w:space="0" w:color="auto"/>
            <w:right w:val="none" w:sz="0" w:space="0" w:color="auto"/>
          </w:divBdr>
        </w:div>
        <w:div w:id="942035375">
          <w:marLeft w:val="0"/>
          <w:marRight w:val="0"/>
          <w:marTop w:val="0"/>
          <w:marBottom w:val="0"/>
          <w:divBdr>
            <w:top w:val="none" w:sz="0" w:space="0" w:color="auto"/>
            <w:left w:val="none" w:sz="0" w:space="0" w:color="auto"/>
            <w:bottom w:val="none" w:sz="0" w:space="0" w:color="auto"/>
            <w:right w:val="none" w:sz="0" w:space="0" w:color="auto"/>
          </w:divBdr>
        </w:div>
        <w:div w:id="1036930326">
          <w:marLeft w:val="0"/>
          <w:marRight w:val="0"/>
          <w:marTop w:val="0"/>
          <w:marBottom w:val="0"/>
          <w:divBdr>
            <w:top w:val="none" w:sz="0" w:space="0" w:color="auto"/>
            <w:left w:val="none" w:sz="0" w:space="0" w:color="auto"/>
            <w:bottom w:val="none" w:sz="0" w:space="0" w:color="auto"/>
            <w:right w:val="none" w:sz="0" w:space="0" w:color="auto"/>
          </w:divBdr>
        </w:div>
        <w:div w:id="1038974330">
          <w:marLeft w:val="0"/>
          <w:marRight w:val="0"/>
          <w:marTop w:val="0"/>
          <w:marBottom w:val="0"/>
          <w:divBdr>
            <w:top w:val="none" w:sz="0" w:space="0" w:color="auto"/>
            <w:left w:val="none" w:sz="0" w:space="0" w:color="auto"/>
            <w:bottom w:val="none" w:sz="0" w:space="0" w:color="auto"/>
            <w:right w:val="none" w:sz="0" w:space="0" w:color="auto"/>
          </w:divBdr>
        </w:div>
        <w:div w:id="1040738832">
          <w:marLeft w:val="0"/>
          <w:marRight w:val="0"/>
          <w:marTop w:val="0"/>
          <w:marBottom w:val="0"/>
          <w:divBdr>
            <w:top w:val="none" w:sz="0" w:space="0" w:color="auto"/>
            <w:left w:val="none" w:sz="0" w:space="0" w:color="auto"/>
            <w:bottom w:val="none" w:sz="0" w:space="0" w:color="auto"/>
            <w:right w:val="none" w:sz="0" w:space="0" w:color="auto"/>
          </w:divBdr>
        </w:div>
        <w:div w:id="1121148608">
          <w:marLeft w:val="0"/>
          <w:marRight w:val="0"/>
          <w:marTop w:val="0"/>
          <w:marBottom w:val="0"/>
          <w:divBdr>
            <w:top w:val="none" w:sz="0" w:space="0" w:color="auto"/>
            <w:left w:val="none" w:sz="0" w:space="0" w:color="auto"/>
            <w:bottom w:val="none" w:sz="0" w:space="0" w:color="auto"/>
            <w:right w:val="none" w:sz="0" w:space="0" w:color="auto"/>
          </w:divBdr>
        </w:div>
        <w:div w:id="1152332113">
          <w:marLeft w:val="0"/>
          <w:marRight w:val="0"/>
          <w:marTop w:val="0"/>
          <w:marBottom w:val="0"/>
          <w:divBdr>
            <w:top w:val="none" w:sz="0" w:space="0" w:color="auto"/>
            <w:left w:val="none" w:sz="0" w:space="0" w:color="auto"/>
            <w:bottom w:val="none" w:sz="0" w:space="0" w:color="auto"/>
            <w:right w:val="none" w:sz="0" w:space="0" w:color="auto"/>
          </w:divBdr>
        </w:div>
        <w:div w:id="1197423829">
          <w:marLeft w:val="0"/>
          <w:marRight w:val="0"/>
          <w:marTop w:val="0"/>
          <w:marBottom w:val="0"/>
          <w:divBdr>
            <w:top w:val="none" w:sz="0" w:space="0" w:color="auto"/>
            <w:left w:val="none" w:sz="0" w:space="0" w:color="auto"/>
            <w:bottom w:val="none" w:sz="0" w:space="0" w:color="auto"/>
            <w:right w:val="none" w:sz="0" w:space="0" w:color="auto"/>
          </w:divBdr>
        </w:div>
        <w:div w:id="1292328043">
          <w:marLeft w:val="0"/>
          <w:marRight w:val="0"/>
          <w:marTop w:val="0"/>
          <w:marBottom w:val="0"/>
          <w:divBdr>
            <w:top w:val="none" w:sz="0" w:space="0" w:color="auto"/>
            <w:left w:val="none" w:sz="0" w:space="0" w:color="auto"/>
            <w:bottom w:val="none" w:sz="0" w:space="0" w:color="auto"/>
            <w:right w:val="none" w:sz="0" w:space="0" w:color="auto"/>
          </w:divBdr>
        </w:div>
        <w:div w:id="1328752678">
          <w:marLeft w:val="0"/>
          <w:marRight w:val="0"/>
          <w:marTop w:val="0"/>
          <w:marBottom w:val="0"/>
          <w:divBdr>
            <w:top w:val="none" w:sz="0" w:space="0" w:color="auto"/>
            <w:left w:val="none" w:sz="0" w:space="0" w:color="auto"/>
            <w:bottom w:val="none" w:sz="0" w:space="0" w:color="auto"/>
            <w:right w:val="none" w:sz="0" w:space="0" w:color="auto"/>
          </w:divBdr>
        </w:div>
        <w:div w:id="1336765166">
          <w:marLeft w:val="0"/>
          <w:marRight w:val="0"/>
          <w:marTop w:val="0"/>
          <w:marBottom w:val="0"/>
          <w:divBdr>
            <w:top w:val="none" w:sz="0" w:space="0" w:color="auto"/>
            <w:left w:val="none" w:sz="0" w:space="0" w:color="auto"/>
            <w:bottom w:val="none" w:sz="0" w:space="0" w:color="auto"/>
            <w:right w:val="none" w:sz="0" w:space="0" w:color="auto"/>
          </w:divBdr>
        </w:div>
        <w:div w:id="1389184537">
          <w:marLeft w:val="0"/>
          <w:marRight w:val="0"/>
          <w:marTop w:val="0"/>
          <w:marBottom w:val="0"/>
          <w:divBdr>
            <w:top w:val="none" w:sz="0" w:space="0" w:color="auto"/>
            <w:left w:val="none" w:sz="0" w:space="0" w:color="auto"/>
            <w:bottom w:val="none" w:sz="0" w:space="0" w:color="auto"/>
            <w:right w:val="none" w:sz="0" w:space="0" w:color="auto"/>
          </w:divBdr>
        </w:div>
        <w:div w:id="1404256081">
          <w:marLeft w:val="0"/>
          <w:marRight w:val="0"/>
          <w:marTop w:val="0"/>
          <w:marBottom w:val="0"/>
          <w:divBdr>
            <w:top w:val="none" w:sz="0" w:space="0" w:color="auto"/>
            <w:left w:val="none" w:sz="0" w:space="0" w:color="auto"/>
            <w:bottom w:val="none" w:sz="0" w:space="0" w:color="auto"/>
            <w:right w:val="none" w:sz="0" w:space="0" w:color="auto"/>
          </w:divBdr>
        </w:div>
        <w:div w:id="1425029484">
          <w:marLeft w:val="0"/>
          <w:marRight w:val="0"/>
          <w:marTop w:val="0"/>
          <w:marBottom w:val="0"/>
          <w:divBdr>
            <w:top w:val="none" w:sz="0" w:space="0" w:color="auto"/>
            <w:left w:val="none" w:sz="0" w:space="0" w:color="auto"/>
            <w:bottom w:val="none" w:sz="0" w:space="0" w:color="auto"/>
            <w:right w:val="none" w:sz="0" w:space="0" w:color="auto"/>
          </w:divBdr>
        </w:div>
        <w:div w:id="1429279399">
          <w:marLeft w:val="0"/>
          <w:marRight w:val="0"/>
          <w:marTop w:val="0"/>
          <w:marBottom w:val="0"/>
          <w:divBdr>
            <w:top w:val="none" w:sz="0" w:space="0" w:color="auto"/>
            <w:left w:val="none" w:sz="0" w:space="0" w:color="auto"/>
            <w:bottom w:val="none" w:sz="0" w:space="0" w:color="auto"/>
            <w:right w:val="none" w:sz="0" w:space="0" w:color="auto"/>
          </w:divBdr>
        </w:div>
        <w:div w:id="1450008114">
          <w:marLeft w:val="0"/>
          <w:marRight w:val="0"/>
          <w:marTop w:val="0"/>
          <w:marBottom w:val="0"/>
          <w:divBdr>
            <w:top w:val="none" w:sz="0" w:space="0" w:color="auto"/>
            <w:left w:val="none" w:sz="0" w:space="0" w:color="auto"/>
            <w:bottom w:val="none" w:sz="0" w:space="0" w:color="auto"/>
            <w:right w:val="none" w:sz="0" w:space="0" w:color="auto"/>
          </w:divBdr>
        </w:div>
        <w:div w:id="1543588431">
          <w:marLeft w:val="0"/>
          <w:marRight w:val="0"/>
          <w:marTop w:val="0"/>
          <w:marBottom w:val="0"/>
          <w:divBdr>
            <w:top w:val="none" w:sz="0" w:space="0" w:color="auto"/>
            <w:left w:val="none" w:sz="0" w:space="0" w:color="auto"/>
            <w:bottom w:val="none" w:sz="0" w:space="0" w:color="auto"/>
            <w:right w:val="none" w:sz="0" w:space="0" w:color="auto"/>
          </w:divBdr>
        </w:div>
        <w:div w:id="1552307826">
          <w:marLeft w:val="0"/>
          <w:marRight w:val="0"/>
          <w:marTop w:val="0"/>
          <w:marBottom w:val="0"/>
          <w:divBdr>
            <w:top w:val="none" w:sz="0" w:space="0" w:color="auto"/>
            <w:left w:val="none" w:sz="0" w:space="0" w:color="auto"/>
            <w:bottom w:val="none" w:sz="0" w:space="0" w:color="auto"/>
            <w:right w:val="none" w:sz="0" w:space="0" w:color="auto"/>
          </w:divBdr>
        </w:div>
        <w:div w:id="1705867786">
          <w:marLeft w:val="0"/>
          <w:marRight w:val="0"/>
          <w:marTop w:val="0"/>
          <w:marBottom w:val="0"/>
          <w:divBdr>
            <w:top w:val="none" w:sz="0" w:space="0" w:color="auto"/>
            <w:left w:val="none" w:sz="0" w:space="0" w:color="auto"/>
            <w:bottom w:val="none" w:sz="0" w:space="0" w:color="auto"/>
            <w:right w:val="none" w:sz="0" w:space="0" w:color="auto"/>
          </w:divBdr>
        </w:div>
        <w:div w:id="1732070212">
          <w:marLeft w:val="0"/>
          <w:marRight w:val="0"/>
          <w:marTop w:val="0"/>
          <w:marBottom w:val="0"/>
          <w:divBdr>
            <w:top w:val="none" w:sz="0" w:space="0" w:color="auto"/>
            <w:left w:val="none" w:sz="0" w:space="0" w:color="auto"/>
            <w:bottom w:val="none" w:sz="0" w:space="0" w:color="auto"/>
            <w:right w:val="none" w:sz="0" w:space="0" w:color="auto"/>
          </w:divBdr>
        </w:div>
        <w:div w:id="1747147191">
          <w:marLeft w:val="0"/>
          <w:marRight w:val="0"/>
          <w:marTop w:val="0"/>
          <w:marBottom w:val="0"/>
          <w:divBdr>
            <w:top w:val="none" w:sz="0" w:space="0" w:color="auto"/>
            <w:left w:val="none" w:sz="0" w:space="0" w:color="auto"/>
            <w:bottom w:val="none" w:sz="0" w:space="0" w:color="auto"/>
            <w:right w:val="none" w:sz="0" w:space="0" w:color="auto"/>
          </w:divBdr>
        </w:div>
        <w:div w:id="1811091609">
          <w:marLeft w:val="0"/>
          <w:marRight w:val="0"/>
          <w:marTop w:val="0"/>
          <w:marBottom w:val="0"/>
          <w:divBdr>
            <w:top w:val="none" w:sz="0" w:space="0" w:color="auto"/>
            <w:left w:val="none" w:sz="0" w:space="0" w:color="auto"/>
            <w:bottom w:val="none" w:sz="0" w:space="0" w:color="auto"/>
            <w:right w:val="none" w:sz="0" w:space="0" w:color="auto"/>
          </w:divBdr>
        </w:div>
        <w:div w:id="1864439524">
          <w:marLeft w:val="0"/>
          <w:marRight w:val="0"/>
          <w:marTop w:val="0"/>
          <w:marBottom w:val="0"/>
          <w:divBdr>
            <w:top w:val="none" w:sz="0" w:space="0" w:color="auto"/>
            <w:left w:val="none" w:sz="0" w:space="0" w:color="auto"/>
            <w:bottom w:val="none" w:sz="0" w:space="0" w:color="auto"/>
            <w:right w:val="none" w:sz="0" w:space="0" w:color="auto"/>
          </w:divBdr>
        </w:div>
        <w:div w:id="1895772935">
          <w:marLeft w:val="0"/>
          <w:marRight w:val="0"/>
          <w:marTop w:val="0"/>
          <w:marBottom w:val="0"/>
          <w:divBdr>
            <w:top w:val="none" w:sz="0" w:space="0" w:color="auto"/>
            <w:left w:val="none" w:sz="0" w:space="0" w:color="auto"/>
            <w:bottom w:val="none" w:sz="0" w:space="0" w:color="auto"/>
            <w:right w:val="none" w:sz="0" w:space="0" w:color="auto"/>
          </w:divBdr>
        </w:div>
        <w:div w:id="1900938879">
          <w:marLeft w:val="0"/>
          <w:marRight w:val="0"/>
          <w:marTop w:val="0"/>
          <w:marBottom w:val="0"/>
          <w:divBdr>
            <w:top w:val="none" w:sz="0" w:space="0" w:color="auto"/>
            <w:left w:val="none" w:sz="0" w:space="0" w:color="auto"/>
            <w:bottom w:val="none" w:sz="0" w:space="0" w:color="auto"/>
            <w:right w:val="none" w:sz="0" w:space="0" w:color="auto"/>
          </w:divBdr>
        </w:div>
        <w:div w:id="1954362061">
          <w:marLeft w:val="0"/>
          <w:marRight w:val="0"/>
          <w:marTop w:val="0"/>
          <w:marBottom w:val="0"/>
          <w:divBdr>
            <w:top w:val="none" w:sz="0" w:space="0" w:color="auto"/>
            <w:left w:val="none" w:sz="0" w:space="0" w:color="auto"/>
            <w:bottom w:val="none" w:sz="0" w:space="0" w:color="auto"/>
            <w:right w:val="none" w:sz="0" w:space="0" w:color="auto"/>
          </w:divBdr>
        </w:div>
        <w:div w:id="1988852620">
          <w:marLeft w:val="0"/>
          <w:marRight w:val="0"/>
          <w:marTop w:val="0"/>
          <w:marBottom w:val="0"/>
          <w:divBdr>
            <w:top w:val="none" w:sz="0" w:space="0" w:color="auto"/>
            <w:left w:val="none" w:sz="0" w:space="0" w:color="auto"/>
            <w:bottom w:val="none" w:sz="0" w:space="0" w:color="auto"/>
            <w:right w:val="none" w:sz="0" w:space="0" w:color="auto"/>
          </w:divBdr>
        </w:div>
        <w:div w:id="2011789212">
          <w:marLeft w:val="0"/>
          <w:marRight w:val="0"/>
          <w:marTop w:val="0"/>
          <w:marBottom w:val="0"/>
          <w:divBdr>
            <w:top w:val="none" w:sz="0" w:space="0" w:color="auto"/>
            <w:left w:val="none" w:sz="0" w:space="0" w:color="auto"/>
            <w:bottom w:val="none" w:sz="0" w:space="0" w:color="auto"/>
            <w:right w:val="none" w:sz="0" w:space="0" w:color="auto"/>
          </w:divBdr>
        </w:div>
        <w:div w:id="2012874989">
          <w:marLeft w:val="0"/>
          <w:marRight w:val="0"/>
          <w:marTop w:val="0"/>
          <w:marBottom w:val="0"/>
          <w:divBdr>
            <w:top w:val="none" w:sz="0" w:space="0" w:color="auto"/>
            <w:left w:val="none" w:sz="0" w:space="0" w:color="auto"/>
            <w:bottom w:val="none" w:sz="0" w:space="0" w:color="auto"/>
            <w:right w:val="none" w:sz="0" w:space="0" w:color="auto"/>
          </w:divBdr>
        </w:div>
        <w:div w:id="2116170719">
          <w:marLeft w:val="0"/>
          <w:marRight w:val="0"/>
          <w:marTop w:val="0"/>
          <w:marBottom w:val="0"/>
          <w:divBdr>
            <w:top w:val="none" w:sz="0" w:space="0" w:color="auto"/>
            <w:left w:val="none" w:sz="0" w:space="0" w:color="auto"/>
            <w:bottom w:val="none" w:sz="0" w:space="0" w:color="auto"/>
            <w:right w:val="none" w:sz="0" w:space="0" w:color="auto"/>
          </w:divBdr>
        </w:div>
        <w:div w:id="2121876307">
          <w:marLeft w:val="0"/>
          <w:marRight w:val="0"/>
          <w:marTop w:val="0"/>
          <w:marBottom w:val="0"/>
          <w:divBdr>
            <w:top w:val="none" w:sz="0" w:space="0" w:color="auto"/>
            <w:left w:val="none" w:sz="0" w:space="0" w:color="auto"/>
            <w:bottom w:val="none" w:sz="0" w:space="0" w:color="auto"/>
            <w:right w:val="none" w:sz="0" w:space="0" w:color="auto"/>
          </w:divBdr>
        </w:div>
        <w:div w:id="2124306139">
          <w:marLeft w:val="0"/>
          <w:marRight w:val="0"/>
          <w:marTop w:val="0"/>
          <w:marBottom w:val="0"/>
          <w:divBdr>
            <w:top w:val="none" w:sz="0" w:space="0" w:color="auto"/>
            <w:left w:val="none" w:sz="0" w:space="0" w:color="auto"/>
            <w:bottom w:val="none" w:sz="0" w:space="0" w:color="auto"/>
            <w:right w:val="none" w:sz="0" w:space="0" w:color="auto"/>
          </w:divBdr>
        </w:div>
        <w:div w:id="2134863489">
          <w:marLeft w:val="0"/>
          <w:marRight w:val="0"/>
          <w:marTop w:val="0"/>
          <w:marBottom w:val="0"/>
          <w:divBdr>
            <w:top w:val="none" w:sz="0" w:space="0" w:color="auto"/>
            <w:left w:val="none" w:sz="0" w:space="0" w:color="auto"/>
            <w:bottom w:val="none" w:sz="0" w:space="0" w:color="auto"/>
            <w:right w:val="none" w:sz="0" w:space="0" w:color="auto"/>
          </w:divBdr>
        </w:div>
      </w:divsChild>
    </w:div>
    <w:div w:id="1910191882">
      <w:bodyDiv w:val="1"/>
      <w:marLeft w:val="0"/>
      <w:marRight w:val="0"/>
      <w:marTop w:val="0"/>
      <w:marBottom w:val="0"/>
      <w:divBdr>
        <w:top w:val="none" w:sz="0" w:space="0" w:color="auto"/>
        <w:left w:val="none" w:sz="0" w:space="0" w:color="auto"/>
        <w:bottom w:val="none" w:sz="0" w:space="0" w:color="auto"/>
        <w:right w:val="none" w:sz="0" w:space="0" w:color="auto"/>
      </w:divBdr>
    </w:div>
    <w:div w:id="2035690634">
      <w:bodyDiv w:val="1"/>
      <w:marLeft w:val="0"/>
      <w:marRight w:val="0"/>
      <w:marTop w:val="0"/>
      <w:marBottom w:val="0"/>
      <w:divBdr>
        <w:top w:val="none" w:sz="0" w:space="0" w:color="auto"/>
        <w:left w:val="none" w:sz="0" w:space="0" w:color="auto"/>
        <w:bottom w:val="none" w:sz="0" w:space="0" w:color="auto"/>
        <w:right w:val="none" w:sz="0" w:space="0" w:color="auto"/>
      </w:divBdr>
      <w:divsChild>
        <w:div w:id="233702663">
          <w:marLeft w:val="0"/>
          <w:marRight w:val="0"/>
          <w:marTop w:val="0"/>
          <w:marBottom w:val="0"/>
          <w:divBdr>
            <w:top w:val="none" w:sz="0" w:space="0" w:color="auto"/>
            <w:left w:val="none" w:sz="0" w:space="0" w:color="auto"/>
            <w:bottom w:val="none" w:sz="0" w:space="0" w:color="auto"/>
            <w:right w:val="none" w:sz="0" w:space="0" w:color="auto"/>
          </w:divBdr>
        </w:div>
        <w:div w:id="327291547">
          <w:marLeft w:val="0"/>
          <w:marRight w:val="0"/>
          <w:marTop w:val="0"/>
          <w:marBottom w:val="0"/>
          <w:divBdr>
            <w:top w:val="none" w:sz="0" w:space="0" w:color="auto"/>
            <w:left w:val="none" w:sz="0" w:space="0" w:color="auto"/>
            <w:bottom w:val="none" w:sz="0" w:space="0" w:color="auto"/>
            <w:right w:val="none" w:sz="0" w:space="0" w:color="auto"/>
          </w:divBdr>
        </w:div>
        <w:div w:id="437218370">
          <w:marLeft w:val="0"/>
          <w:marRight w:val="0"/>
          <w:marTop w:val="0"/>
          <w:marBottom w:val="0"/>
          <w:divBdr>
            <w:top w:val="none" w:sz="0" w:space="0" w:color="auto"/>
            <w:left w:val="none" w:sz="0" w:space="0" w:color="auto"/>
            <w:bottom w:val="none" w:sz="0" w:space="0" w:color="auto"/>
            <w:right w:val="none" w:sz="0" w:space="0" w:color="auto"/>
          </w:divBdr>
        </w:div>
        <w:div w:id="961421068">
          <w:marLeft w:val="0"/>
          <w:marRight w:val="0"/>
          <w:marTop w:val="0"/>
          <w:marBottom w:val="0"/>
          <w:divBdr>
            <w:top w:val="none" w:sz="0" w:space="0" w:color="auto"/>
            <w:left w:val="none" w:sz="0" w:space="0" w:color="auto"/>
            <w:bottom w:val="none" w:sz="0" w:space="0" w:color="auto"/>
            <w:right w:val="none" w:sz="0" w:space="0" w:color="auto"/>
          </w:divBdr>
        </w:div>
        <w:div w:id="1080902688">
          <w:marLeft w:val="0"/>
          <w:marRight w:val="0"/>
          <w:marTop w:val="0"/>
          <w:marBottom w:val="0"/>
          <w:divBdr>
            <w:top w:val="none" w:sz="0" w:space="0" w:color="auto"/>
            <w:left w:val="none" w:sz="0" w:space="0" w:color="auto"/>
            <w:bottom w:val="none" w:sz="0" w:space="0" w:color="auto"/>
            <w:right w:val="none" w:sz="0" w:space="0" w:color="auto"/>
          </w:divBdr>
        </w:div>
        <w:div w:id="1322541418">
          <w:marLeft w:val="0"/>
          <w:marRight w:val="0"/>
          <w:marTop w:val="0"/>
          <w:marBottom w:val="0"/>
          <w:divBdr>
            <w:top w:val="none" w:sz="0" w:space="0" w:color="auto"/>
            <w:left w:val="none" w:sz="0" w:space="0" w:color="auto"/>
            <w:bottom w:val="none" w:sz="0" w:space="0" w:color="auto"/>
            <w:right w:val="none" w:sz="0" w:space="0" w:color="auto"/>
          </w:divBdr>
        </w:div>
        <w:div w:id="1624774487">
          <w:marLeft w:val="0"/>
          <w:marRight w:val="0"/>
          <w:marTop w:val="0"/>
          <w:marBottom w:val="0"/>
          <w:divBdr>
            <w:top w:val="none" w:sz="0" w:space="0" w:color="auto"/>
            <w:left w:val="none" w:sz="0" w:space="0" w:color="auto"/>
            <w:bottom w:val="none" w:sz="0" w:space="0" w:color="auto"/>
            <w:right w:val="none" w:sz="0" w:space="0" w:color="auto"/>
          </w:divBdr>
        </w:div>
        <w:div w:id="1754232658">
          <w:marLeft w:val="0"/>
          <w:marRight w:val="0"/>
          <w:marTop w:val="0"/>
          <w:marBottom w:val="0"/>
          <w:divBdr>
            <w:top w:val="none" w:sz="0" w:space="0" w:color="auto"/>
            <w:left w:val="none" w:sz="0" w:space="0" w:color="auto"/>
            <w:bottom w:val="none" w:sz="0" w:space="0" w:color="auto"/>
            <w:right w:val="none" w:sz="0" w:space="0" w:color="auto"/>
          </w:divBdr>
        </w:div>
        <w:div w:id="1870294907">
          <w:marLeft w:val="0"/>
          <w:marRight w:val="0"/>
          <w:marTop w:val="0"/>
          <w:marBottom w:val="0"/>
          <w:divBdr>
            <w:top w:val="none" w:sz="0" w:space="0" w:color="auto"/>
            <w:left w:val="none" w:sz="0" w:space="0" w:color="auto"/>
            <w:bottom w:val="none" w:sz="0" w:space="0" w:color="auto"/>
            <w:right w:val="none" w:sz="0" w:space="0" w:color="auto"/>
          </w:divBdr>
        </w:div>
        <w:div w:id="187179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npa.b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npa.b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ps/TnpaDetail.php?UrlId=49113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oei.by/pagevalues/view?model_id=4&amp;node_id=116" TargetMode="External"/><Relationship Id="rId3" Type="http://schemas.openxmlformats.org/officeDocument/2006/relationships/hyperlink" Target="http://www.oei.by/pagevalues/view?model_id=4&amp;node_id=116" TargetMode="External"/><Relationship Id="rId7" Type="http://schemas.openxmlformats.org/officeDocument/2006/relationships/hyperlink" Target="http://www.oei.by/pagevalues/view?model_id=4&amp;node_id=116" TargetMode="External"/><Relationship Id="rId2" Type="http://schemas.openxmlformats.org/officeDocument/2006/relationships/hyperlink" Target="http://www.oei.by/pagevalues/view?model_id=4&amp;node_id=116" TargetMode="External"/><Relationship Id="rId1" Type="http://schemas.openxmlformats.org/officeDocument/2006/relationships/hyperlink" Target="https://tnpa.by/" TargetMode="External"/><Relationship Id="rId6" Type="http://schemas.openxmlformats.org/officeDocument/2006/relationships/hyperlink" Target="http://www.oei.by/pagevalues/view?model_id=4&amp;node_id=116" TargetMode="External"/><Relationship Id="rId5" Type="http://schemas.openxmlformats.org/officeDocument/2006/relationships/hyperlink" Target="http://www.oei.by/pagevalues/view?model_id=4&amp;node_id=116" TargetMode="External"/><Relationship Id="rId10" Type="http://schemas.openxmlformats.org/officeDocument/2006/relationships/hyperlink" Target="http://www.oei.by/pagevalues/view?model_id=4&amp;node_id=116" TargetMode="External"/><Relationship Id="rId4" Type="http://schemas.openxmlformats.org/officeDocument/2006/relationships/hyperlink" Target="http://www.oei.by/pagevalues/view?model_id=4&amp;node_id=116" TargetMode="External"/><Relationship Id="rId9" Type="http://schemas.openxmlformats.org/officeDocument/2006/relationships/hyperlink" Target="http://www.oei.by/pagevalues/view?model_id=4&amp;node_id=1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C41F9587A5E479D35E33AF8A324A3" ma:contentTypeVersion="6" ma:contentTypeDescription="Create a new document." ma:contentTypeScope="" ma:versionID="92eed232f9c1d5334cd4e266c261221a">
  <xsd:schema xmlns:xsd="http://www.w3.org/2001/XMLSchema" xmlns:xs="http://www.w3.org/2001/XMLSchema" xmlns:p="http://schemas.microsoft.com/office/2006/metadata/properties" xmlns:ns3="47326ae6-7d37-4d62-b619-500889d3f37f" targetNamespace="http://schemas.microsoft.com/office/2006/metadata/properties" ma:root="true" ma:fieldsID="fb1c2043a8e4d5f2dd870982228b4030" ns3:_="">
    <xsd:import namespace="47326ae6-7d37-4d62-b619-500889d3f3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26ae6-7d37-4d62-b619-500889d3f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E0F6B-1121-48A6-A74E-F3C8DFFE9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26ae6-7d37-4d62-b619-500889d3f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00B22-88CF-4479-99B1-C22A8866B276}">
  <ds:schemaRefs>
    <ds:schemaRef ds:uri="http://schemas.microsoft.com/sharepoint/v3/contenttype/forms"/>
  </ds:schemaRefs>
</ds:datastoreItem>
</file>

<file path=customXml/itemProps3.xml><?xml version="1.0" encoding="utf-8"?>
<ds:datastoreItem xmlns:ds="http://schemas.openxmlformats.org/officeDocument/2006/customXml" ds:itemID="{DC5F4261-0AC7-4BB3-ABA3-574D3DA551FC}">
  <ds:schemaRefs>
    <ds:schemaRef ds:uri="http://schemas.openxmlformats.org/officeDocument/2006/bibliography"/>
  </ds:schemaRefs>
</ds:datastoreItem>
</file>

<file path=customXml/itemProps4.xml><?xml version="1.0" encoding="utf-8"?>
<ds:datastoreItem xmlns:ds="http://schemas.openxmlformats.org/officeDocument/2006/customXml" ds:itemID="{92E66CEB-F96A-4363-812B-3BBC4988CF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1938</Words>
  <Characters>11542</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13454</CharactersWithSpaces>
  <SharedDoc>false</SharedDoc>
  <HLinks>
    <vt:vector size="30" baseType="variant">
      <vt:variant>
        <vt:i4>5767175</vt:i4>
      </vt:variant>
      <vt:variant>
        <vt:i4>6</vt:i4>
      </vt:variant>
      <vt:variant>
        <vt:i4>0</vt:i4>
      </vt:variant>
      <vt:variant>
        <vt:i4>5</vt:i4>
      </vt:variant>
      <vt:variant>
        <vt:lpwstr>https://tnpa.by/</vt:lpwstr>
      </vt:variant>
      <vt:variant>
        <vt:lpwstr>!/DocumentCard/379098/521347</vt:lpwstr>
      </vt:variant>
      <vt:variant>
        <vt:i4>5767175</vt:i4>
      </vt:variant>
      <vt:variant>
        <vt:i4>3</vt:i4>
      </vt:variant>
      <vt:variant>
        <vt:i4>0</vt:i4>
      </vt:variant>
      <vt:variant>
        <vt:i4>5</vt:i4>
      </vt:variant>
      <vt:variant>
        <vt:lpwstr>https://tnpa.by/</vt:lpwstr>
      </vt:variant>
      <vt:variant>
        <vt:lpwstr>!/DocumentCard/379098/521347</vt:lpwstr>
      </vt:variant>
      <vt:variant>
        <vt:i4>2293882</vt:i4>
      </vt:variant>
      <vt:variant>
        <vt:i4>0</vt:i4>
      </vt:variant>
      <vt:variant>
        <vt:i4>0</vt:i4>
      </vt:variant>
      <vt:variant>
        <vt:i4>5</vt:i4>
      </vt:variant>
      <vt:variant>
        <vt:lpwstr>http://ips/TnpaDetail.php?UrlId=491138</vt:lpwstr>
      </vt:variant>
      <vt:variant>
        <vt:lpwstr/>
      </vt:variant>
      <vt:variant>
        <vt:i4>1835075</vt:i4>
      </vt:variant>
      <vt:variant>
        <vt:i4>3</vt:i4>
      </vt:variant>
      <vt:variant>
        <vt:i4>0</vt:i4>
      </vt:variant>
      <vt:variant>
        <vt:i4>5</vt:i4>
      </vt:variant>
      <vt:variant>
        <vt:lpwstr>http://www.oei.by/pagevalues/view?model_id=4&amp;node_id=116</vt:lpwstr>
      </vt:variant>
      <vt:variant>
        <vt:lpwstr/>
      </vt:variant>
      <vt:variant>
        <vt:i4>5767175</vt:i4>
      </vt:variant>
      <vt:variant>
        <vt:i4>0</vt:i4>
      </vt:variant>
      <vt:variant>
        <vt:i4>0</vt:i4>
      </vt:variant>
      <vt:variant>
        <vt:i4>5</vt:i4>
      </vt:variant>
      <vt:variant>
        <vt:lpwstr>https://tnpa.by/</vt:lpwstr>
      </vt:variant>
      <vt:variant>
        <vt:lpwstr>!/DocumentCard/379098/521347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Najdenova</dc:creator>
  <cp:keywords/>
  <cp:lastModifiedBy>Томшис Ольга Владимировна</cp:lastModifiedBy>
  <cp:revision>6</cp:revision>
  <cp:lastPrinted>2019-09-19T13:33:00Z</cp:lastPrinted>
  <dcterms:created xsi:type="dcterms:W3CDTF">2024-01-20T11:49:00Z</dcterms:created>
  <dcterms:modified xsi:type="dcterms:W3CDTF">2024-01-25T10:46:00Z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0x010100A04C41F9587A5E479D35E33AF8A324A3</vt:lpwstr>
  </property>
</Properties>
</file>