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:rsidTr="007541C2">
        <w:tc>
          <w:tcPr>
            <w:tcW w:w="5848" w:type="dxa"/>
            <w:vMerge w:val="restart"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7541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:rsidTr="007541C2">
        <w:tc>
          <w:tcPr>
            <w:tcW w:w="5848" w:type="dxa"/>
            <w:vMerge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7541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7541C2">
        <w:tc>
          <w:tcPr>
            <w:tcW w:w="5848" w:type="dxa"/>
            <w:vMerge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7541C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2.0560</w:t>
            </w:r>
          </w:p>
        </w:tc>
      </w:tr>
      <w:tr w:rsidR="00A7420A" w:rsidRPr="005E0063" w:rsidTr="007541C2">
        <w:tc>
          <w:tcPr>
            <w:tcW w:w="5848" w:type="dxa"/>
            <w:vMerge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7541C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20.09.1999 </w:t>
            </w:r>
          </w:p>
        </w:tc>
      </w:tr>
      <w:tr w:rsidR="00A7420A" w:rsidRPr="00131F6F" w:rsidTr="007541C2">
        <w:tc>
          <w:tcPr>
            <w:tcW w:w="5848" w:type="dxa"/>
            <w:vMerge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7541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57691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7691B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7541C2">
        <w:tc>
          <w:tcPr>
            <w:tcW w:w="5848" w:type="dxa"/>
            <w:vMerge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57691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7691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:rsidTr="007541C2">
        <w:tc>
          <w:tcPr>
            <w:tcW w:w="9751" w:type="dxa"/>
          </w:tcPr>
          <w:p w:rsidR="00A7420A" w:rsidRDefault="00A7420A" w:rsidP="007541C2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541C2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A7420A" w:rsidRPr="005E0063" w:rsidTr="007541C2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:rsidR="00A7420A" w:rsidRPr="007541C2" w:rsidRDefault="00A7420A" w:rsidP="007541C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7541C2" w:rsidRDefault="007541C2" w:rsidP="007541C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7541C2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7541C2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7541C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A7420A" w:rsidRPr="007541C2" w:rsidRDefault="007541C2" w:rsidP="007541C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Открытого акционерного общества</w:t>
            </w:r>
            <w:r w:rsidR="00A7420A" w:rsidRPr="007541C2">
              <w:rPr>
                <w:bCs/>
                <w:sz w:val="28"/>
                <w:szCs w:val="28"/>
                <w:lang w:val="ru-RU"/>
              </w:rPr>
              <w:t xml:space="preserve"> "Минский автомобильный завод" - управляющая компания холдинга "БЕЛАВТОМАЗ"</w:t>
            </w:r>
          </w:p>
          <w:p w:rsidR="00A7420A" w:rsidRPr="007541C2" w:rsidRDefault="00A7420A" w:rsidP="007541C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A7420A" w:rsidRPr="007541C2" w:rsidRDefault="00A7420A" w:rsidP="007541C2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:rsidTr="007541C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:rsidR="00A7420A" w:rsidRPr="007A4175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7420A" w:rsidRPr="007A4175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7420A" w:rsidRPr="007A4175" w:rsidRDefault="00A7420A" w:rsidP="007541C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7A4175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7A4175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7A4175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55"/>
        <w:gridCol w:w="463"/>
        <w:gridCol w:w="126"/>
        <w:gridCol w:w="838"/>
        <w:gridCol w:w="309"/>
        <w:gridCol w:w="128"/>
        <w:gridCol w:w="1472"/>
        <w:gridCol w:w="229"/>
        <w:gridCol w:w="1683"/>
        <w:gridCol w:w="16"/>
        <w:gridCol w:w="2089"/>
      </w:tblGrid>
      <w:tr w:rsidR="007541C2" w:rsidTr="007541C2">
        <w:trPr>
          <w:trHeight w:val="276"/>
          <w:tblHeader/>
        </w:trPr>
        <w:tc>
          <w:tcPr>
            <w:tcW w:w="429" w:type="pct"/>
            <w:vAlign w:val="center"/>
          </w:tcPr>
          <w:p w:rsidR="00A7420A" w:rsidRPr="00582A8F" w:rsidRDefault="007541C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:rsidR="00FD69F8" w:rsidRDefault="007541C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4" w:type="pct"/>
            <w:gridSpan w:val="3"/>
            <w:vAlign w:val="center"/>
          </w:tcPr>
          <w:p w:rsidR="00FD69F8" w:rsidRDefault="007541C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9" w:type="pct"/>
            <w:gridSpan w:val="3"/>
            <w:vAlign w:val="center"/>
          </w:tcPr>
          <w:p w:rsidR="00FD69F8" w:rsidRDefault="007541C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0" w:type="pct"/>
            <w:gridSpan w:val="2"/>
            <w:vAlign w:val="center"/>
          </w:tcPr>
          <w:p w:rsidR="00FD69F8" w:rsidRDefault="007541C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9" w:type="pct"/>
            <w:gridSpan w:val="2"/>
            <w:vAlign w:val="center"/>
          </w:tcPr>
          <w:p w:rsidR="00FD69F8" w:rsidRDefault="007541C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D69F8" w:rsidTr="007541C2">
        <w:tc>
          <w:tcPr>
            <w:tcW w:w="5000" w:type="pct"/>
            <w:gridSpan w:val="12"/>
          </w:tcPr>
          <w:p w:rsidR="00FD69F8" w:rsidRDefault="007541C2">
            <w:pPr>
              <w:ind w:left="-84" w:right="-84"/>
              <w:jc w:val="center"/>
            </w:pPr>
            <w:r>
              <w:rPr>
                <w:b/>
                <w:sz w:val="22"/>
              </w:rPr>
              <w:t>ш. МКАД, 5-й километр, д.23, 220138, г. Минск</w:t>
            </w:r>
            <w:r>
              <w:rPr>
                <w:b/>
                <w:sz w:val="22"/>
              </w:rPr>
              <w:br/>
              <w:t>("Республиканский полигон для испытаний мобильных машин")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29.10/38.000, 30.99/38.000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Эффективность тормозных систем: Система рабочего тормоза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 1.5.3.1.1, п. 1.6, п. 2.1, п. 2.4</w:t>
            </w:r>
          </w:p>
          <w:p w:rsidR="007541C2" w:rsidRDefault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пп. 1.1-1.6, п. 2.4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3.7**</w:t>
            </w:r>
          </w:p>
        </w:tc>
        <w:tc>
          <w:tcPr>
            <w:tcW w:w="1139" w:type="pct"/>
            <w:gridSpan w:val="3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 и N</w:t>
            </w:r>
          </w:p>
        </w:tc>
        <w:tc>
          <w:tcPr>
            <w:tcW w:w="647" w:type="pct"/>
            <w:gridSpan w:val="3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29.10/38.000, 30.99/38.000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Система аварийного тормоза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 2.2.1</w:t>
            </w:r>
          </w:p>
          <w:p w:rsidR="007541C2" w:rsidRDefault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п. 1.1, п. 1.2, пп. 2.2.2 - 2.2.5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3.8**</w:t>
            </w:r>
          </w:p>
        </w:tc>
        <w:tc>
          <w:tcPr>
            <w:tcW w:w="1139" w:type="pct"/>
            <w:gridSpan w:val="3"/>
            <w:vMerge/>
          </w:tcPr>
          <w:p w:rsidR="00FD69F8" w:rsidRDefault="00FD69F8"/>
        </w:tc>
        <w:tc>
          <w:tcPr>
            <w:tcW w:w="647" w:type="pct"/>
            <w:gridSpan w:val="3"/>
            <w:vMerge/>
          </w:tcPr>
          <w:p w:rsidR="00FD69F8" w:rsidRDefault="00FD69F8"/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Система стояночного тормоза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 xml:space="preserve">Правила ООН № 13 </w:t>
            </w:r>
            <w:r>
              <w:rPr>
                <w:sz w:val="22"/>
              </w:rPr>
              <w:lastRenderedPageBreak/>
              <w:t>(11)/Пересмотр 8 Приложение 4 п. 2.3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Правила ООН № 13 (11)/Пересмотр 8 Приложение 4 п. 2.3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3.9**</w:t>
            </w:r>
          </w:p>
        </w:tc>
        <w:tc>
          <w:tcPr>
            <w:tcW w:w="1139" w:type="pct"/>
            <w:gridSpan w:val="3"/>
            <w:vMerge/>
          </w:tcPr>
          <w:p w:rsidR="00FD69F8" w:rsidRDefault="00FD69F8"/>
        </w:tc>
        <w:tc>
          <w:tcPr>
            <w:tcW w:w="647" w:type="pct"/>
            <w:gridSpan w:val="3"/>
            <w:vMerge/>
          </w:tcPr>
          <w:p w:rsidR="00FD69F8" w:rsidRDefault="00FD69F8"/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Система замедления без тормозов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п.1.8</w:t>
            </w: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п. 1.8 Приложение 5 п. 2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3.10**</w:t>
            </w:r>
          </w:p>
        </w:tc>
        <w:tc>
          <w:tcPr>
            <w:tcW w:w="1139" w:type="pct"/>
            <w:gridSpan w:val="3"/>
            <w:vMerge w:val="restart"/>
          </w:tcPr>
          <w:p w:rsidR="00FD69F8" w:rsidRDefault="007541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Транспортные средства категории</w:t>
            </w:r>
            <w:proofErr w:type="gramStart"/>
            <w:r>
              <w:rPr>
                <w:sz w:val="22"/>
              </w:rPr>
              <w:t xml:space="preserve"> О</w:t>
            </w:r>
            <w:proofErr w:type="gramEnd"/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</w:tc>
        <w:tc>
          <w:tcPr>
            <w:tcW w:w="647" w:type="pct"/>
            <w:gridSpan w:val="3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29.20/38.000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Эффективность тормозных систем: Система рабочего тормоза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 3.1, п. 1.5.3.1.4, п. 1.7.2</w:t>
            </w: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п. 1.1, п. 1.2, п. 1.3, п. 1.4.4, п. 1.5.2, пп. 1.7.1 - 1.7.3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3.11**</w:t>
            </w:r>
          </w:p>
        </w:tc>
        <w:tc>
          <w:tcPr>
            <w:tcW w:w="1139" w:type="pct"/>
            <w:gridSpan w:val="3"/>
            <w:vMerge/>
          </w:tcPr>
          <w:p w:rsidR="00FD69F8" w:rsidRDefault="00FD69F8"/>
        </w:tc>
        <w:tc>
          <w:tcPr>
            <w:tcW w:w="647" w:type="pct"/>
            <w:gridSpan w:val="3"/>
            <w:vMerge/>
          </w:tcPr>
          <w:p w:rsidR="00FD69F8" w:rsidRDefault="00FD69F8"/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Автоматическое торможение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 3.3.1</w:t>
            </w:r>
          </w:p>
          <w:p w:rsidR="007541C2" w:rsidRDefault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п. 5.2.1.18.4, п. 5.2.1.18.5 Приложение 4 п. 1.1, п. 1.2, п. 1.3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3.12**</w:t>
            </w:r>
          </w:p>
        </w:tc>
        <w:tc>
          <w:tcPr>
            <w:tcW w:w="1139" w:type="pct"/>
            <w:gridSpan w:val="3"/>
            <w:vMerge/>
          </w:tcPr>
          <w:p w:rsidR="00FD69F8" w:rsidRDefault="00FD69F8"/>
        </w:tc>
        <w:tc>
          <w:tcPr>
            <w:tcW w:w="647" w:type="pct"/>
            <w:gridSpan w:val="3"/>
            <w:vMerge/>
          </w:tcPr>
          <w:p w:rsidR="00FD69F8" w:rsidRDefault="00FD69F8"/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Система стояночного тормоза</w:t>
            </w:r>
          </w:p>
        </w:tc>
        <w:tc>
          <w:tcPr>
            <w:tcW w:w="854" w:type="pct"/>
          </w:tcPr>
          <w:p w:rsidR="007541C2" w:rsidRDefault="007541C2" w:rsidP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 3.2</w:t>
            </w:r>
          </w:p>
          <w:p w:rsidR="007541C2" w:rsidRDefault="007541C2" w:rsidP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п. 3.2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Механические транспортные средства</w:t>
            </w: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</w:pP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29.10/38.000, 30.99/38.000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Максимально допустимое усилие на рулевом колесе при исправном и неисправном рулевом механизме. Максимально допустимое время управления при </w:t>
            </w:r>
            <w:r>
              <w:rPr>
                <w:sz w:val="22"/>
              </w:rPr>
              <w:lastRenderedPageBreak/>
              <w:t>повороте при исправном и неисправном рулевом механизме.</w:t>
            </w:r>
          </w:p>
          <w:p w:rsidR="007541C2" w:rsidRDefault="007541C2">
            <w:pPr>
              <w:ind w:left="-84" w:right="-84"/>
            </w:pP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proofErr w:type="gramStart"/>
            <w:r>
              <w:rPr>
                <w:sz w:val="22"/>
              </w:rPr>
              <w:lastRenderedPageBreak/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65;</w:t>
            </w:r>
            <w:r>
              <w:rPr>
                <w:sz w:val="22"/>
              </w:rPr>
              <w:br/>
              <w:t>Правила ООН № 79 (01)/Пересмотр 2 п. 5 (кроме п. 5.1.5, п. 5.3.3), п. 6.2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79 (01)/Пересмотр 2 п. 5 (кроме п. 5.1.5, п. 5.3.3), п. 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4.2**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(автомобили, автопоезда, прицепы и полуприцепы)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29.10/38.000, 29.20/38.000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Параметры управляемости: «Усилие», Испытания «Поворот и переставка», «Пробег»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№3, пункт 4;</w:t>
            </w:r>
            <w:r>
              <w:rPr>
                <w:sz w:val="22"/>
              </w:rPr>
              <w:br/>
              <w:t>ГОСТ 31507-2012 п.4.1, п. 4.5, п. 4.7, Приложение А, Приложение Б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31507-2012 п. 5.3, п. 5.7, п. 5.9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средства, имеющие не менее 4-х колес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29.10/35.067, 30.99/35.067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Уровень внешнего шума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41;</w:t>
            </w:r>
            <w:r>
              <w:rPr>
                <w:sz w:val="22"/>
              </w:rPr>
              <w:br/>
              <w:t>Правила ООН № 51 (02)/Пересмотр 2 п. 6.2 Приложение 6 п. 3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51 (02)/Пересмотр 2 Приложение 3 Приложение 5 п. 1.1 Приложение 6 Приложение 8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М1, М2, М3, N1, N2, N3, в том числе с электродвигателем, полуприцепы, предназначенные для перевозки пассажиров, троллейбусы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29.10/35.067, 30.99/35.067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Уровень внутреннего шума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100, Приложение №3, п. 2;</w:t>
            </w:r>
            <w:r>
              <w:rPr>
                <w:sz w:val="22"/>
              </w:rPr>
              <w:br/>
              <w:t>ГОСТ 33555-2015 п. 4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33555-2015 п.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29.10/35.067, 30.99/35.067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Оснащение звуковыми сигнальными приборами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23;</w:t>
            </w:r>
            <w:r>
              <w:rPr>
                <w:sz w:val="22"/>
              </w:rPr>
              <w:br/>
              <w:t>Правила ООН № 28 (00) пункт 14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28 (00) п. 6.2.3.1, п. 14, Приложение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Одноэтажные и двухэтажные транспортные средства жесткой базы или сочлененные транспортные средства категории М2 или М3.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30.99/11.116, 30.99/29.061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Общая конструкция пассажирских транспортных средств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83;</w:t>
            </w:r>
            <w:r>
              <w:rPr>
                <w:sz w:val="22"/>
              </w:rPr>
              <w:br/>
              <w:t>Правила ООН №107 (03) п.5 Приложения 3; Приложения 4; Приложения 6; Приложения 7; Приложения 8 Приложения 11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№107 (03) Приложения 3 (за исключением: п.7.4, Добавление) Приложения 4, Приложения 6, Приложения 7, Приложения 8 (за исключением п.п.3.8.2-3.8.3) Приложения 11.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N1, N2, N3, М1, М2, М3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30.99/29.061</w:t>
            </w:r>
          </w:p>
        </w:tc>
        <w:tc>
          <w:tcPr>
            <w:tcW w:w="863" w:type="pct"/>
            <w:gridSpan w:val="2"/>
          </w:tcPr>
          <w:p w:rsidR="00FD69F8" w:rsidRDefault="007541C2" w:rsidP="007541C2">
            <w:pPr>
              <w:spacing w:line="220" w:lineRule="exact"/>
              <w:ind w:left="-85" w:right="-85"/>
              <w:rPr>
                <w:sz w:val="22"/>
              </w:rPr>
            </w:pPr>
            <w:r>
              <w:rPr>
                <w:sz w:val="22"/>
              </w:rPr>
              <w:t xml:space="preserve">Установка устройств непрямого обзора: - минимальное количество </w:t>
            </w:r>
            <w:r>
              <w:rPr>
                <w:sz w:val="22"/>
              </w:rPr>
              <w:lastRenderedPageBreak/>
              <w:t>обязательных для установки зерка</w:t>
            </w:r>
            <w:proofErr w:type="gramStart"/>
            <w:r>
              <w:rPr>
                <w:sz w:val="22"/>
              </w:rPr>
              <w:t>л-</w:t>
            </w:r>
            <w:proofErr w:type="gramEnd"/>
            <w:r>
              <w:rPr>
                <w:sz w:val="22"/>
              </w:rPr>
              <w:t xml:space="preserve"> места установки зеркал, регулировка,- поля обзора зеркал</w:t>
            </w:r>
          </w:p>
          <w:p w:rsidR="007541C2" w:rsidRDefault="007541C2" w:rsidP="007541C2">
            <w:pPr>
              <w:spacing w:line="220" w:lineRule="exact"/>
              <w:ind w:left="-85" w:right="-85"/>
            </w:pP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proofErr w:type="gramStart"/>
            <w:r>
              <w:rPr>
                <w:sz w:val="22"/>
              </w:rPr>
              <w:lastRenderedPageBreak/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36;</w:t>
            </w:r>
            <w:r>
              <w:rPr>
                <w:sz w:val="22"/>
              </w:rPr>
              <w:br/>
              <w:t xml:space="preserve">Правила ООН № 46 </w:t>
            </w:r>
            <w:r>
              <w:rPr>
                <w:sz w:val="22"/>
              </w:rPr>
              <w:lastRenderedPageBreak/>
              <w:t>(02)/Пересмотр 3 п.15 (за исключением п. 15.3)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Правила ООН № 46 (02)/Пересмотр 3 п. 15 (за исключением п. 15.3) Приложение 8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7.5**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категории M, N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30.99/35.062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Установка двигателя на автомобиль: - разрежение на впуске; противодавление выпуска;- объем системы выпуска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39;</w:t>
            </w:r>
            <w:r>
              <w:rPr>
                <w:sz w:val="22"/>
              </w:rPr>
              <w:br/>
              <w:t>Правила ООН № 49 (05)/Пересмотр 5 глава 6 п. 6.1.1, п. 6.1.2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49 (05)/Пересмотр 5 Приложение 1 Добавление 1 п. 1.18, п. 1.19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7.6**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Автомобили, оборудованные дизельными двигателями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30.99/35.062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Установка двигателя на автомобиль: - разрежение на впуске; противодавление выпуска;- объем системы выпуска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20;</w:t>
            </w:r>
            <w:r>
              <w:rPr>
                <w:sz w:val="22"/>
              </w:rPr>
              <w:br/>
              <w:t>Правила ООН № 24 (03)/Пересмотр 2 часть 2 п.15.3.1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24 (03)/Пересмотр 2 Приложение 4 п. 3.1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7.7**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N2G, N3G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30.99/35.062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Установка двигателя на автомобиль: - разрежение на впуске; противодавление выпуска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77;</w:t>
            </w:r>
            <w:r>
              <w:rPr>
                <w:sz w:val="22"/>
              </w:rPr>
              <w:br/>
              <w:t>Правила ООН № 96 (02)/Пересмотр 1 п. 6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96 (02)/Пересмотр 1 п. 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М, N, троллейбусы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29.10/35.065, 30.99/35.065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Эффективность системы отопления. Эффективность системы вентиляции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№3, пункт 6;</w:t>
            </w:r>
            <w:r>
              <w:rPr>
                <w:sz w:val="22"/>
              </w:rPr>
              <w:br/>
              <w:t>ГОСТ 30593-2015 п. 4 за исключением п. 4.3.2;</w:t>
            </w:r>
            <w:r>
              <w:rPr>
                <w:sz w:val="22"/>
              </w:rPr>
              <w:br/>
              <w:t>СТБ ГОСТ Р 50993-2003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30593-2015 Приложение А, за исключением п. А.1.3.4;</w:t>
            </w:r>
            <w:r>
              <w:rPr>
                <w:sz w:val="22"/>
              </w:rPr>
              <w:br/>
              <w:t>СТБ ГОСТ Р 50866-2003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30.99/11.116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Механизм измерения скорости, включая его установку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 пункт 31;</w:t>
            </w:r>
            <w:r>
              <w:rPr>
                <w:sz w:val="22"/>
              </w:rPr>
              <w:br/>
              <w:t>Правила ООН № 39 (00)/Пересмотр 1 п. 5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39 (00)/Пересмотр 1 п.5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9.9**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категории M, N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Устройства ограничения скорости и их установка</w:t>
            </w:r>
          </w:p>
        </w:tc>
        <w:tc>
          <w:tcPr>
            <w:tcW w:w="854" w:type="pct"/>
          </w:tcPr>
          <w:p w:rsidR="00FD69F8" w:rsidRDefault="007541C2" w:rsidP="007541C2">
            <w:pPr>
              <w:spacing w:line="220" w:lineRule="exact"/>
              <w:ind w:left="-85" w:right="-85"/>
            </w:pPr>
            <w:r>
              <w:rPr>
                <w:sz w:val="22"/>
              </w:rPr>
              <w:t>ТР ТС 018/2011 Приложение №2, пункт 72;</w:t>
            </w:r>
            <w:r>
              <w:rPr>
                <w:sz w:val="22"/>
              </w:rPr>
              <w:br/>
              <w:t>Правила ООН № 89 часть 1 Приложение 5 п.1.1.4.2, п. 1.1.5.2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89 часть 1 Приложение 5 п.1.1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9.10**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М2 и М3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Устройства ограничения скорости и их установка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№6, пункты: 1.16.1.2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89 часть 1 Приложение 5 п.1.1</w:t>
            </w:r>
          </w:p>
        </w:tc>
      </w:tr>
      <w:tr w:rsidR="00FD69F8" w:rsidTr="007541C2">
        <w:tc>
          <w:tcPr>
            <w:tcW w:w="5000" w:type="pct"/>
            <w:gridSpan w:val="12"/>
          </w:tcPr>
          <w:p w:rsidR="00FD69F8" w:rsidRDefault="007541C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gramStart"/>
            <w:r>
              <w:rPr>
                <w:b/>
                <w:sz w:val="22"/>
              </w:rPr>
              <w:t>Социалистическая</w:t>
            </w:r>
            <w:proofErr w:type="gramEnd"/>
            <w:r>
              <w:rPr>
                <w:b/>
                <w:sz w:val="22"/>
              </w:rPr>
              <w:t>, 2, 220021, г. Минск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М, N и О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29.10/29.121, 29.20/29.121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Оснащение задними защитными устройствами транспортных средств для перевозки грузов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 пункт 48;</w:t>
            </w:r>
            <w:r>
              <w:rPr>
                <w:sz w:val="22"/>
              </w:rPr>
              <w:br/>
              <w:t>Правила ООН № 58 (02)/Пересмотр 2 п. 2, п. 25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58 (02)/Пересмотр 2 Приложение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О3 и О4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29.20/29.061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Оснащение боковыми защитными устройствами транспортных средств для перевозки грузов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59;</w:t>
            </w:r>
            <w:r>
              <w:rPr>
                <w:sz w:val="22"/>
              </w:rPr>
              <w:br/>
              <w:t>Правила ООН № 73-00 п. 12, п.13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73-00 Приложение 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N2 и N3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Оснащение передними защитными устройствами транспортных средств для перевозки грузов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74;</w:t>
            </w:r>
            <w:r>
              <w:rPr>
                <w:sz w:val="22"/>
              </w:rPr>
              <w:br/>
              <w:t>Правила ООН № 93 п. 10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средства, имеющие не менее трех колес, за исключением транспортных средств категории М1 и N1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Устройства для предотвращения несанкционированного использования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 пункт 15;</w:t>
            </w:r>
            <w:r>
              <w:rPr>
                <w:sz w:val="22"/>
              </w:rPr>
              <w:br/>
              <w:t>Правила ООН № 18 (03)/Пересмотр 3 п.5  (за исключением п. 5.6, п. 5.8.1, п .5.8.2),  п. 6.1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18 (03)/Пересмотр 3 Приложение 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Средства автотранспортные специализированные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29.10/39.000, 29.20/39.000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Системы специализированных кузовов автомобилей, прицепов и полуприцепов, предназначенных для перевозки грузов по дорогам общей сети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№6, пункты1.7, 2.2.13, 2.2.14, 2.2.18, 2.2.19;</w:t>
            </w:r>
            <w:r>
              <w:rPr>
                <w:sz w:val="22"/>
              </w:rPr>
              <w:br/>
              <w:t>ГОСТ 27472-87 п.5.9, п. 6.1, п. 6.2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27472-87 п. 5.9, п.6.1, п.6.2¹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 М1 и N1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Устройства для предотвращения несанкционированного использования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 пункт 87;</w:t>
            </w:r>
            <w:r>
              <w:rPr>
                <w:sz w:val="22"/>
              </w:rPr>
              <w:br/>
              <w:t>Правила ООН № 116 (00) п. 5</w:t>
            </w: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</w:pP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116 (00) Приложение 4 Часть 1, часть 2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1075" w:type="pct"/>
            <w:gridSpan w:val="2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средства, оборудованные пневматическими тормозными системами М2, М3 и N</w:t>
            </w:r>
          </w:p>
        </w:tc>
        <w:tc>
          <w:tcPr>
            <w:tcW w:w="646" w:type="pct"/>
            <w:gridSpan w:val="3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29.20/35.062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Время срабатывания исполнительных органов и привода тормозов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11;</w:t>
            </w:r>
            <w:r>
              <w:rPr>
                <w:sz w:val="22"/>
              </w:rPr>
              <w:br/>
              <w:t>Правила ООН № 13 (11)/Пересмотр 8 п. 5.2.1.18.4.1 Приложение 6 п. 2.4, п. 2.6, п. 3.5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1075" w:type="pct"/>
            <w:gridSpan w:val="2"/>
            <w:vMerge/>
          </w:tcPr>
          <w:p w:rsidR="00FD69F8" w:rsidRDefault="00FD69F8"/>
        </w:tc>
        <w:tc>
          <w:tcPr>
            <w:tcW w:w="646" w:type="pct"/>
            <w:gridSpan w:val="3"/>
            <w:vMerge/>
          </w:tcPr>
          <w:p w:rsidR="00FD69F8" w:rsidRDefault="00FD69F8"/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Емкость резервуаров (аккумуляторов энергии)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11;</w:t>
            </w:r>
            <w:r>
              <w:rPr>
                <w:sz w:val="22"/>
              </w:rPr>
              <w:br/>
              <w:t>Правила ООН № 13 (11)/Пересмотр 8 п. 5.2.1.13.1, п. 5.2.1.5.2, Приложение 7 п.1.2.1, п. 1.2.2.3, п. 1.3.1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7 пп.1.2.1 - 1.2.2.3, пп. 1.3.2.1-1.3.2.4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30.99/35.062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Производительность (емкость) источников энергии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7 п. 2.4, п. 2.5.2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7 п.2.3, п. 2.5.1, п. 2.6.1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М3, N и О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29.20/35.062, 30.99/35.062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Определение запаса сжатого воздуха для пружинных тормозов и уровня давления приведения их в действие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8 пп. 2.3.3- 2.5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8 пп. 2.1 -2.7, п. 3.1, п. 3.2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Тормозные накладки, барабаны транспортных средств категорий М2, М3, N и О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29.32/38.000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Эффективность торможения при испытаниях типа 0, I, III на инерционном динамометрическом стенде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15 пп. 4.3.1 - 4.3.4, пп. 4.4.1 - 4.4.3.2, пп. 4.6.1 - 4.6.3.2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15 п. 2, п. 3, п. 4, п. 4.4, п. 4.6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 xml:space="preserve">Одноэтажные и двухэтажные транспортные средства жесткой базы или сочлененные транспортные средства категории </w:t>
            </w:r>
            <w:r>
              <w:rPr>
                <w:sz w:val="22"/>
              </w:rPr>
              <w:lastRenderedPageBreak/>
              <w:t>М2 или М3.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30.99/11.116,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Общая конструкция пассажирских транспортных средств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83;</w:t>
            </w:r>
            <w:r>
              <w:rPr>
                <w:sz w:val="22"/>
              </w:rPr>
              <w:br/>
              <w:t xml:space="preserve">Правила ООН №107 (03) п.5 Приложения 3; Приложения 4; Приложения 6; </w:t>
            </w:r>
            <w:r>
              <w:rPr>
                <w:sz w:val="22"/>
              </w:rPr>
              <w:lastRenderedPageBreak/>
              <w:t>Приложения 7; Приложения 8 Приложения 11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№107 (03) Приложения 3 (за исключением: п.7.4, Добавление) Приложения 4, Приложения 6, Приложения 7, Приложения 8 (за </w:t>
            </w:r>
            <w:r>
              <w:rPr>
                <w:sz w:val="22"/>
              </w:rPr>
              <w:lastRenderedPageBreak/>
              <w:t>исключением п.п.3.8.2-3.8.3) Приложения 11.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6.2**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N1, N2, N3, М1, М2, М3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Установка устройств непрямого обзора: - минимальное количество обязательных для установки зеркал- места установки зеркал, регулировка,- поля обзора зеркал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36;</w:t>
            </w:r>
            <w:r>
              <w:rPr>
                <w:sz w:val="22"/>
              </w:rPr>
              <w:br/>
              <w:t>Правила ООН № 46 (02)/Пересмотр 3 п.15 (за исключением п. 15.3)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46 (02)/Пересмотр 3 п. 15 (за исключением п. 15.3) Приложение 8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Грузовые автомобили, автобусы, троллейбусы (категории М1, М2, М3, N1, N2, N3)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Обзорность с места водителя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№3, пункт 5;</w:t>
            </w:r>
            <w:r>
              <w:rPr>
                <w:sz w:val="22"/>
              </w:rPr>
              <w:br/>
              <w:t>ГОСТ 33988-2016 п.3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33988-2016 п.4 Приложение В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M, N и O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29.20/11.116, 30.99/11.116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Положения, касающиеся установки безопасных стекловых материалов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34;</w:t>
            </w:r>
            <w:r>
              <w:rPr>
                <w:sz w:val="22"/>
              </w:rPr>
              <w:br/>
              <w:t>Правила ООН № 43-00 Приложение 21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43-00 Приложение 21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Грузовые транспортные средства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29.10/29.121, 29.10/38.000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Защита лиц, находящихся в кабине Испытание на удар спереди (испытание А), прочность крыши (испытание В)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24;</w:t>
            </w:r>
            <w:r>
              <w:rPr>
                <w:sz w:val="22"/>
              </w:rPr>
              <w:br/>
              <w:t>Правила ООН № 29 (02)/Пересмотр 1 п. 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29 (02)/Пересмотр 1 Приложение 3 (за исключением п. 6) Приложение 4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6.6**</w:t>
            </w:r>
          </w:p>
        </w:tc>
        <w:tc>
          <w:tcPr>
            <w:tcW w:w="1075" w:type="pct"/>
            <w:gridSpan w:val="2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N1, N2, N3, М1, М2, М3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29.10/29.121, 30.99/29.061, 30.99/29.121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Крепление ремней безопасности: - минимальное предусмотренное число точек крепления ремня,- положение точек эффективного крепления ремня,- прочность крепления ремня,-обследование в ходе и после испытаний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12;</w:t>
            </w:r>
            <w:r>
              <w:rPr>
                <w:sz w:val="22"/>
              </w:rPr>
              <w:br/>
              <w:t>Правила ООН № 14 (07)/Пересмотр 5 п.5, п. 6, п. 7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14 (07)/Пересмотр 5 п.5, п. 6, п. 7 Приложение 3, Приложение 4, Приложение 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6.7**</w:t>
            </w:r>
          </w:p>
        </w:tc>
        <w:tc>
          <w:tcPr>
            <w:tcW w:w="1075" w:type="pct"/>
            <w:gridSpan w:val="2"/>
            <w:vMerge/>
          </w:tcPr>
          <w:p w:rsidR="00FD69F8" w:rsidRDefault="00FD69F8"/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30.99/11.116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средства, оснащенные ремнями безопасности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 пункт 13 ;</w:t>
            </w:r>
            <w:r>
              <w:rPr>
                <w:sz w:val="22"/>
              </w:rPr>
              <w:br/>
              <w:t xml:space="preserve">Правила ООН № 16 (06)/Пересмотр 8 </w:t>
            </w:r>
            <w:r>
              <w:rPr>
                <w:sz w:val="22"/>
              </w:rPr>
              <w:lastRenderedPageBreak/>
              <w:t>п. 8 (за исключением п. 8.2.5), Приложение 16, 18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Правила ООН № 16 (06)/Пересмотр 8 п. 8,  (за исключением п. 8.2.5), Приложение 16, 18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6.8**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М1, М2, N1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Подголовники сидений:- высота и ширина подголовника;- эффективность подголовника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21 ;</w:t>
            </w:r>
            <w:r>
              <w:rPr>
                <w:sz w:val="22"/>
              </w:rPr>
              <w:br/>
              <w:t>Правила ООН № 25 (04)/Пересмотр 1 (за исключением п. 6.1)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25 (04)/Пересмотр 1 п.7 за исключением Приложения 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6.9**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неиндивидуального использования категории N1, N2, N3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50;</w:t>
            </w:r>
            <w:r>
              <w:rPr>
                <w:sz w:val="22"/>
              </w:rPr>
              <w:br/>
              <w:t>Правила ООН № 61 (00) п. 2, п. 5, п. 6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61 (00) п. 6 Приложение 3, Приложение 4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6.10**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 за исключением транспортных средств класса 1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30.99/29.061, 30.99/29.121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Прочность сидений и их креплений крупногабаритных транспортных средств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66;</w:t>
            </w:r>
            <w:r>
              <w:rPr>
                <w:sz w:val="22"/>
              </w:rPr>
              <w:br/>
              <w:t>Правила ООН № 80-01 пп. 5-7, добавления 1-5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80-01 Добавление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Одноэтажные транспортные средства М2, М3 жесткой базы и сочлененные транспортные средства, сконструированные и построенные для перевозки людей, вместимостью более 22 стоящих или сидящих пассажиров, помимо водителя, и имеющие общую ширину свыше 2,3м.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30.99/11.116,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29;</w:t>
            </w:r>
            <w:r>
              <w:rPr>
                <w:sz w:val="22"/>
              </w:rPr>
              <w:br/>
              <w:t>Правила ООН № 36 (03)/Пересмотр 3 (за исключением п. 2.7, п. 3.9, п. 3.10.12, п. 3.11, п. 4.1, пп. 4.3 – 4.6 Приложения 8, введенного п. 5.16 Правил)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36 (03)/Пересмотр 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30.99/11.116,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 6   п. 1.16 (кроме п. 1.16.3.11);</w:t>
            </w:r>
            <w:r>
              <w:rPr>
                <w:sz w:val="22"/>
              </w:rPr>
              <w:br/>
              <w:t>ГОСТ 33552-2015 (кроме п. 2.4.12.2)</w:t>
            </w:r>
          </w:p>
          <w:p w:rsidR="007541C2" w:rsidRDefault="007541C2">
            <w:pPr>
              <w:ind w:left="-84" w:right="-84"/>
            </w:pP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33552-2015 (кроме п. 2.4.12.2);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 6 п. 1.16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Грузовые транспортные средства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29.10/29.121, 29.10/38.000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 xml:space="preserve">Защита лиц, находящихся в кабине грузового транспортного средства </w:t>
            </w:r>
            <w:r>
              <w:rPr>
                <w:sz w:val="22"/>
              </w:rPr>
              <w:lastRenderedPageBreak/>
              <w:t>Испытание на лобовой удар (испытание А); Испытание передних стоек на удар (испытание В); Испытания крыши на прочность (испытание С)</w:t>
            </w:r>
          </w:p>
        </w:tc>
        <w:tc>
          <w:tcPr>
            <w:tcW w:w="862" w:type="pct"/>
            <w:gridSpan w:val="2"/>
          </w:tcPr>
          <w:p w:rsidR="007541C2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lastRenderedPageBreak/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24;</w:t>
            </w:r>
            <w:r>
              <w:rPr>
                <w:sz w:val="22"/>
              </w:rPr>
              <w:br/>
              <w:t xml:space="preserve">Правила ООН № 29 </w:t>
            </w:r>
          </w:p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(03)/Пересмотр 2 п. 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29 (03)/Пересмотр 2 Приложение 3, Приложение 3 добавление 1, </w:t>
            </w:r>
            <w:r>
              <w:rPr>
                <w:sz w:val="22"/>
              </w:rPr>
              <w:lastRenderedPageBreak/>
              <w:t>Приложение 3 добавление 2, Приложение 4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6.14**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N1, N2, N3, М1, М2, М3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29.10/29.121, 30.99/29.121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14;</w:t>
            </w:r>
            <w:r>
              <w:rPr>
                <w:sz w:val="22"/>
              </w:rPr>
              <w:br/>
              <w:t>Правила ООН № 17 (08)/Пересмотр 5 п. 5.1, п. 5.3, п. 5.4, п. 5.5.1, пп. 5.6-5.14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17 (08)/Пересмотр 5 п.5.1, 5.3, 5.4, 5.5.1, 5.6-5.15 приложение 3, 4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6.15**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N2, N3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29.10/29.121, 30.99/29.121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Замки и петли дверей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97;</w:t>
            </w:r>
            <w:r>
              <w:rPr>
                <w:sz w:val="22"/>
              </w:rPr>
              <w:br/>
              <w:t>Глобальные технические правила № 1 за исключением п.5.1.3, п. 5.1.4, п. 5.1.5.4, п. 5.2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Глобальные технические правила № 1 Поправка 1 п.7.1.1, п. 7.1.2 Приложение 1 (за исключением п.2.3) Приложение 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Двигатели внутреннего сгорания, предназначенные для приведение в движении механических транспортных средств категорий M и N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29.32/39.000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Мощность двигателей внутреннего сгорания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 Примечания 34;</w:t>
            </w:r>
            <w:r>
              <w:rPr>
                <w:sz w:val="22"/>
              </w:rPr>
              <w:br/>
              <w:t>Правила ООН № 85 (00)/Пересмотр 1 Приложение 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85 (00)/Пересмотр 1 Приложение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Автомобили, оборудованные дизельными двигателями M, N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Определение скорректированной величины коэффициента поглощения (ХL)</w:t>
            </w:r>
          </w:p>
        </w:tc>
        <w:tc>
          <w:tcPr>
            <w:tcW w:w="862" w:type="pct"/>
            <w:gridSpan w:val="2"/>
          </w:tcPr>
          <w:p w:rsidR="00FD69F8" w:rsidRDefault="007541C2" w:rsidP="007541C2">
            <w:pPr>
              <w:spacing w:line="220" w:lineRule="exact"/>
              <w:ind w:left="-85" w:right="-85"/>
            </w:pPr>
            <w:r>
              <w:rPr>
                <w:sz w:val="22"/>
              </w:rPr>
              <w:t>ТР ТС 018/2011 Приложение №2, пункт 20;</w:t>
            </w:r>
            <w:r>
              <w:rPr>
                <w:sz w:val="22"/>
              </w:rPr>
              <w:br/>
              <w:t>Правила ООН № 24 (03)/Пересмотр 2 Приложение 4 кроме п. 3.2 Приложение 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24 (03)/Пересмотр 2 Приложение 4 кроме п. 3.2 Приложение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категорий N и О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29.20/11.116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Требования в отношении бака (баков) для жидкого топлива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27;</w:t>
            </w:r>
            <w:r>
              <w:rPr>
                <w:sz w:val="22"/>
              </w:rPr>
              <w:br/>
              <w:t>Правила ООН № 34 (02)/Пересмотр 2 Часть I п.5 и п.6 кроме п.5.11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34 (02)/Пересмотр 2 Часть I п.5 и п.6 кроме п. 5.11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7.4**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29.10/35.065, 30.99/11.116, 30.99/35.065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94;</w:t>
            </w:r>
            <w:r>
              <w:rPr>
                <w:sz w:val="22"/>
              </w:rPr>
              <w:br/>
              <w:t>Правила ООН № 122 (00) пп 5.2-5.3, 6.2.1, Приложение 5 Приложение 7 за исключением п. 5 и п. 6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122 (00) п 5.3 Приложение 5 Приложение 7 (за исключением п. 5 и п. 6)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M, N и O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29.20/11.116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Установка устройств освещения и световой сигнализации.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38;</w:t>
            </w:r>
            <w:r>
              <w:rPr>
                <w:sz w:val="22"/>
              </w:rPr>
              <w:br/>
              <w:t>Правила ООН № 48 (04)/Пересмотр 10 п.5, 6 Приложение 8;</w:t>
            </w:r>
            <w:r>
              <w:rPr>
                <w:sz w:val="22"/>
              </w:rPr>
              <w:br/>
              <w:t>Правила ООН №48 (03) п.5, 6 Приложение 8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48 (04)/Пересмотр 10 п.2 Приложения 3, 4, 5, 6, 7, 11;</w:t>
            </w:r>
            <w:r>
              <w:rPr>
                <w:sz w:val="22"/>
              </w:rPr>
              <w:br/>
              <w:t>Правила ООН №48 (03) п.2 Приложения 3, 4, 5, 6, 7, 11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Органы управления транспортных средств - идентификация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93;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121 (00)/Пересмотр 1 п. 5, таблица 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29.10/29.040, 30.99/29.040, 29.20/29.040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Весовые ограничения, действующие в отношении транспортных средств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№3, пункт 14 Приложение №5, пункт 2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33987-2016 Приложение Г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1075" w:type="pct"/>
            <w:gridSpan w:val="2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категории М, N, О</w:t>
            </w:r>
          </w:p>
        </w:tc>
        <w:tc>
          <w:tcPr>
            <w:tcW w:w="646" w:type="pct"/>
            <w:gridSpan w:val="3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29.20/11.116, 30.99/11.116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Требования к маркировке идентификационным номером и табличкам изготовителя транспортных средств (шасси)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7, пункты: 1.4, 2;</w:t>
            </w:r>
            <w:r>
              <w:rPr>
                <w:sz w:val="22"/>
              </w:rPr>
              <w:br/>
              <w:t>СТБ 984-2009 п. 4, п. 5, п. 6, п. 7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33990-2016¹;</w:t>
            </w:r>
            <w:r>
              <w:rPr>
                <w:sz w:val="22"/>
              </w:rPr>
              <w:br/>
              <w:t>СТБ 984-2009¹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1075" w:type="pct"/>
            <w:gridSpan w:val="2"/>
            <w:vMerge/>
          </w:tcPr>
          <w:p w:rsidR="00FD69F8" w:rsidRDefault="00FD69F8"/>
        </w:tc>
        <w:tc>
          <w:tcPr>
            <w:tcW w:w="646" w:type="pct"/>
            <w:gridSpan w:val="3"/>
            <w:vMerge/>
          </w:tcPr>
          <w:p w:rsidR="00FD69F8" w:rsidRDefault="00FD69F8"/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Обеспечение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018/2011 Приложение 7, пункт 4;</w:t>
            </w:r>
            <w:r>
              <w:rPr>
                <w:sz w:val="22"/>
              </w:rPr>
              <w:br/>
              <w:t>ГОСТ Р 50577-2018 Приложение Ж  пп. Ж.1–Ж.7;</w:t>
            </w:r>
            <w:r>
              <w:rPr>
                <w:sz w:val="22"/>
              </w:rPr>
              <w:br/>
              <w:t>СТБ 914-99 (ИСО 7591:1982) Приложение Е пп. Е.1 – Е.5</w:t>
            </w:r>
          </w:p>
          <w:p w:rsidR="0057691B" w:rsidRDefault="0057691B">
            <w:pPr>
              <w:ind w:left="-84" w:right="-84"/>
            </w:pP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Р 50577-2018 Приложение</w:t>
            </w:r>
            <w:proofErr w:type="gramStart"/>
            <w:r>
              <w:rPr>
                <w:sz w:val="22"/>
              </w:rPr>
              <w:t xml:space="preserve"> Ж</w:t>
            </w:r>
            <w:proofErr w:type="gramEnd"/>
            <w:r>
              <w:rPr>
                <w:sz w:val="22"/>
              </w:rPr>
              <w:t xml:space="preserve"> пп. Ж.1 – Ж.7¹;</w:t>
            </w:r>
            <w:r>
              <w:rPr>
                <w:sz w:val="22"/>
              </w:rPr>
              <w:br/>
              <w:t>СТБ 914-99 (ИСО 7591:1982)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9.4**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Механические сцепные устройства составов транспортных средств класса А, В, С, D, E, F, G, H, J, K, L, S, W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29.32/29.061, 29.10/29.061,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Общие технические требования Требования в отношении установки на АТС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45;</w:t>
            </w:r>
            <w:r>
              <w:rPr>
                <w:sz w:val="22"/>
              </w:rPr>
              <w:br/>
              <w:t>Правила ООН № 55 (01)/Пересмотр 1  п. 4.3, п. 6, п. 7.6 Приложения 5, 7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55 (01)/Пересмотр 1;</w:t>
            </w:r>
            <w:r>
              <w:rPr>
                <w:sz w:val="22"/>
              </w:rPr>
              <w:br/>
              <w:t>Правила ООН № 55 (01)/Пересмотр 2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9.5**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Средства транспортные специализированные категории N2, N3, О3, О4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29.10/39.000, 29.20/39.000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Конструктивные особенности для опасных грузов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№6 пункт 2.5.1;</w:t>
            </w:r>
            <w:r>
              <w:rPr>
                <w:sz w:val="22"/>
              </w:rPr>
              <w:br/>
              <w:t>Правила ООН № 105 (04)/Пересмотр 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105 (04)/Пересмотр 1 п. 5.1.2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9.6**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M, N и O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29.32/29.061,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Защита от разбрызгивания из-под колёс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 2 п. 107 таблицы; приложение № 3 пп. 9, 10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Р 52422-2005 пп. 5–8;</w:t>
            </w:r>
            <w:r>
              <w:rPr>
                <w:sz w:val="22"/>
              </w:rPr>
              <w:br/>
              <w:t>СТБ 2022-2009 пп. 5–8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9.7**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Машины и оборудование лесозаготовительные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6, пункт 1.5 (кроме 1.5.5)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12.2.102-2013 п.9.1, п.9.2.1.1¹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9.8**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N3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Общие 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№6, пункт 1.17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12.2.102-2013 п. 9.1 п. 9.2.1.1¹</w:t>
            </w:r>
          </w:p>
        </w:tc>
      </w:tr>
    </w:tbl>
    <w:p w:rsidR="00A7420A" w:rsidRPr="00582A8F" w:rsidRDefault="00A7420A" w:rsidP="00A7420A">
      <w:pPr>
        <w:rPr>
          <w:sz w:val="24"/>
          <w:szCs w:val="24"/>
        </w:rPr>
      </w:pPr>
    </w:p>
    <w:p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ТНПА, не включенные в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транс-портных средств" (</w:t>
      </w:r>
      <w:proofErr w:type="gramStart"/>
      <w:r w:rsidRPr="0037101C">
        <w:rPr>
          <w:color w:val="000000"/>
        </w:rPr>
        <w:t>ТР</w:t>
      </w:r>
      <w:proofErr w:type="gramEnd"/>
      <w:r w:rsidRPr="0037101C">
        <w:rPr>
          <w:color w:val="000000"/>
        </w:rPr>
        <w:t xml:space="preserve"> ТС 018/2011) и осуществления оценки соответствия объектов технического регулирования.</w:t>
      </w:r>
      <w:r w:rsidRPr="0037101C">
        <w:rPr>
          <w:color w:val="000000"/>
        </w:rPr>
        <w:br/>
        <w:t>² - Серии поправок Правил ООН, которые не введены в действие в качестве государственного стандарта Республики Беларусь.</w:t>
      </w:r>
      <w:r w:rsidRPr="0037101C">
        <w:rPr>
          <w:color w:val="000000"/>
        </w:rPr>
        <w:br/>
      </w:r>
    </w:p>
    <w:p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01" w:rsidRDefault="00920001" w:rsidP="0011070C">
      <w:r>
        <w:separator/>
      </w:r>
    </w:p>
  </w:endnote>
  <w:endnote w:type="continuationSeparator" w:id="0">
    <w:p w:rsidR="00920001" w:rsidRDefault="0092000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5"/>
      <w:gridCol w:w="2903"/>
      <w:gridCol w:w="3190"/>
    </w:tblGrid>
    <w:tr w:rsidR="007541C2" w:rsidRPr="00CC669F" w:rsidTr="005E0063">
      <w:tc>
        <w:tcPr>
          <w:tcW w:w="3399" w:type="dxa"/>
          <w:vAlign w:val="center"/>
          <w:hideMark/>
        </w:tcPr>
        <w:p w:rsidR="007541C2" w:rsidRPr="00B453D4" w:rsidRDefault="007541C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7541C2" w:rsidRPr="00B453D4" w:rsidRDefault="007541C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7541C2" w:rsidRPr="00CC669F" w:rsidRDefault="007541C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:rsidR="007541C2" w:rsidRPr="00B453D4" w:rsidRDefault="007541C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:rsidR="007541C2" w:rsidRPr="00CC669F" w:rsidRDefault="007541C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7691B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7691B" w:rsidRPr="0057691B">
            <w:rPr>
              <w:noProof/>
            </w:rPr>
            <w:t>11</w:t>
          </w:r>
          <w:r w:rsidRPr="00CC669F">
            <w:rPr>
              <w:lang w:val="ru-RU"/>
            </w:rPr>
            <w:fldChar w:fldCharType="end"/>
          </w:r>
        </w:p>
      </w:tc>
    </w:tr>
  </w:tbl>
  <w:p w:rsidR="007541C2" w:rsidRPr="005128B2" w:rsidRDefault="007541C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7541C2" w:rsidRPr="00460ECA" w:rsidTr="005E0063">
      <w:trPr>
        <w:trHeight w:val="66"/>
      </w:trPr>
      <w:tc>
        <w:tcPr>
          <w:tcW w:w="3336" w:type="dxa"/>
          <w:vAlign w:val="center"/>
          <w:hideMark/>
        </w:tcPr>
        <w:p w:rsidR="007541C2" w:rsidRPr="00B453D4" w:rsidRDefault="007541C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7541C2" w:rsidRPr="00B453D4" w:rsidRDefault="007541C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7541C2" w:rsidRPr="00CC669F" w:rsidRDefault="007541C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:rsidR="007541C2" w:rsidRPr="00F35A04" w:rsidRDefault="007541C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:rsidR="007541C2" w:rsidRPr="00CC669F" w:rsidRDefault="007541C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7691B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7691B">
            <w:rPr>
              <w:noProof/>
              <w:lang w:val="ru-RU"/>
            </w:rPr>
            <w:t>11</w:t>
          </w:r>
          <w:r w:rsidRPr="00CC669F">
            <w:rPr>
              <w:lang w:val="ru-RU"/>
            </w:rPr>
            <w:fldChar w:fldCharType="end"/>
          </w:r>
        </w:p>
      </w:tc>
    </w:tr>
  </w:tbl>
  <w:p w:rsidR="007541C2" w:rsidRPr="00CC094B" w:rsidRDefault="007541C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01" w:rsidRDefault="00920001" w:rsidP="0011070C">
      <w:r>
        <w:separator/>
      </w:r>
    </w:p>
  </w:footnote>
  <w:footnote w:type="continuationSeparator" w:id="0">
    <w:p w:rsidR="00920001" w:rsidRDefault="0092000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7541C2" w:rsidRPr="00D337DC" w:rsidTr="007541C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7541C2" w:rsidRPr="00B453D4" w:rsidRDefault="007541C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7541C2" w:rsidRPr="00B453D4" w:rsidRDefault="007541C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2.0560</w:t>
          </w:r>
        </w:p>
      </w:tc>
    </w:tr>
  </w:tbl>
  <w:p w:rsidR="007541C2" w:rsidRPr="00CC094B" w:rsidRDefault="007541C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541C2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7541C2" w:rsidRPr="00B453D4" w:rsidRDefault="007541C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7541C2" w:rsidRPr="00B453D4" w:rsidRDefault="007541C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7541C2" w:rsidRPr="00B453D4" w:rsidRDefault="007541C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7541C2" w:rsidRPr="00B453D4" w:rsidRDefault="007541C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7541C2" w:rsidRDefault="007541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691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41C2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0001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69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37F9E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251D-08DA-43EE-89F7-A7B95729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Федя</cp:lastModifiedBy>
  <cp:revision>14</cp:revision>
  <cp:lastPrinted>2021-06-17T06:40:00Z</cp:lastPrinted>
  <dcterms:created xsi:type="dcterms:W3CDTF">2022-04-14T08:26:00Z</dcterms:created>
  <dcterms:modified xsi:type="dcterms:W3CDTF">2024-06-26T21:57:00Z</dcterms:modified>
</cp:coreProperties>
</file>